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7"/>
        <w:tblW w:w="10040" w:type="dxa"/>
        <w:jc w:val="center"/>
        <w:tblBorders>
          <w:top w:val="single" w:color="auto" w:sz="24" w:space="0"/>
          <w:left w:val="single" w:color="auto" w:sz="24" w:space="0"/>
          <w:bottom w:val="single" w:color="auto" w:sz="24" w:space="0"/>
          <w:right w:val="single" w:color="auto" w:sz="24" w:space="0"/>
          <w:insideH w:val="single" w:color="auto" w:sz="6" w:space="0"/>
          <w:insideV w:val="single" w:color="auto" w:sz="6" w:space="0"/>
        </w:tblBorders>
        <w:tblLayout w:type="autofit"/>
        <w:tblCellMar>
          <w:top w:w="0" w:type="dxa"/>
          <w:left w:w="108" w:type="dxa"/>
          <w:bottom w:w="0" w:type="dxa"/>
          <w:right w:w="108" w:type="dxa"/>
        </w:tblCellMar>
      </w:tblPr>
      <w:tblGrid>
        <w:gridCol w:w="4545"/>
        <w:gridCol w:w="3547"/>
        <w:gridCol w:w="2328"/>
      </w:tblGrid>
      <w:tr>
        <w:tblPrEx>
          <w:tblBorders>
            <w:top w:val="single" w:color="auto" w:sz="24" w:space="0"/>
            <w:left w:val="single" w:color="auto" w:sz="24" w:space="0"/>
            <w:bottom w:val="single" w:color="auto" w:sz="24" w:space="0"/>
            <w:right w:val="single" w:color="auto" w:sz="24" w:space="0"/>
            <w:insideH w:val="single" w:color="auto" w:sz="6" w:space="0"/>
            <w:insideV w:val="single" w:color="auto" w:sz="6" w:space="0"/>
          </w:tblBorders>
          <w:tblCellMar>
            <w:top w:w="0" w:type="dxa"/>
            <w:left w:w="108" w:type="dxa"/>
            <w:bottom w:w="0" w:type="dxa"/>
            <w:right w:w="108" w:type="dxa"/>
          </w:tblCellMar>
        </w:tblPrEx>
        <w:trPr>
          <w:trHeight w:val="560" w:hRule="atLeast"/>
          <w:tblHeader/>
          <w:jc w:val="center"/>
        </w:trPr>
        <w:tc>
          <w:tcPr>
            <w:tcW w:w="3178" w:type="dxa"/>
            <w:vMerge w:val="restart"/>
            <w:vAlign w:val="center"/>
          </w:tcPr>
          <w:p>
            <w:pPr>
              <w:spacing w:line="360" w:lineRule="auto"/>
              <w:jc w:val="distribute"/>
              <w:rPr>
                <w:b/>
                <w:position w:val="-40"/>
              </w:rPr>
            </w:pPr>
            <w:r>
              <w:rPr>
                <w:rFonts w:hint="eastAsia"/>
                <w:b/>
                <w:spacing w:val="0"/>
                <w:w w:val="65"/>
                <w:kern w:val="0"/>
                <w:position w:val="-40"/>
                <w:sz w:val="28"/>
                <w:szCs w:val="28"/>
                <w:fitText w:val="2937" w:id="57749527"/>
              </w:rPr>
              <w:t>民航机场规划设计研究总院有限公</w:t>
            </w:r>
            <w:r>
              <w:rPr>
                <w:rFonts w:hint="eastAsia"/>
                <w:b/>
                <w:spacing w:val="7"/>
                <w:w w:val="65"/>
                <w:kern w:val="0"/>
                <w:position w:val="-40"/>
                <w:sz w:val="28"/>
                <w:szCs w:val="28"/>
                <w:fitText w:val="2937" w:id="57749527"/>
              </w:rPr>
              <w:t>司</w:t>
            </w:r>
          </w:p>
        </w:tc>
        <w:tc>
          <w:tcPr>
            <w:tcW w:w="4321" w:type="dxa"/>
          </w:tcPr>
          <w:p>
            <w:pPr>
              <w:jc w:val="center"/>
              <w:rPr>
                <w:position w:val="-40"/>
                <w:sz w:val="28"/>
              </w:rPr>
            </w:pPr>
            <w:r>
              <w:rPr>
                <w:rFonts w:hint="eastAsia"/>
                <w:b/>
                <w:spacing w:val="60"/>
                <w:position w:val="-40"/>
                <w:sz w:val="28"/>
              </w:rPr>
              <w:t>设计说明</w:t>
            </w:r>
          </w:p>
        </w:tc>
        <w:tc>
          <w:tcPr>
            <w:tcW w:w="2541" w:type="dxa"/>
            <w:vAlign w:val="center"/>
          </w:tcPr>
          <w:p>
            <w:pPr>
              <w:rPr>
                <w:sz w:val="24"/>
              </w:rPr>
            </w:pPr>
            <w:r>
              <w:rPr>
                <w:rFonts w:hint="eastAsia"/>
                <w:position w:val="-32"/>
                <w:sz w:val="24"/>
              </w:rPr>
              <w:t>设计阶段：</w:t>
            </w:r>
            <w:r>
              <w:rPr>
                <w:rFonts w:hint="eastAsia"/>
                <w:position w:val="-32"/>
                <w:sz w:val="24"/>
                <w:lang w:val="en-US" w:eastAsia="zh-CN"/>
              </w:rPr>
              <w:t>施工图</w:t>
            </w:r>
            <w:r>
              <w:rPr>
                <w:rFonts w:hint="eastAsia"/>
                <w:position w:val="-32"/>
                <w:sz w:val="24"/>
              </w:rPr>
              <w:t>设计</w:t>
            </w:r>
          </w:p>
        </w:tc>
      </w:tr>
      <w:tr>
        <w:tblPrEx>
          <w:tblBorders>
            <w:top w:val="single" w:color="auto" w:sz="24" w:space="0"/>
            <w:left w:val="single" w:color="auto" w:sz="24" w:space="0"/>
            <w:bottom w:val="single" w:color="auto" w:sz="24" w:space="0"/>
            <w:right w:val="single" w:color="auto" w:sz="24" w:space="0"/>
            <w:insideH w:val="single" w:color="auto" w:sz="6" w:space="0"/>
            <w:insideV w:val="single" w:color="auto" w:sz="6" w:space="0"/>
          </w:tblBorders>
          <w:tblCellMar>
            <w:top w:w="0" w:type="dxa"/>
            <w:left w:w="108" w:type="dxa"/>
            <w:bottom w:w="0" w:type="dxa"/>
            <w:right w:w="108" w:type="dxa"/>
          </w:tblCellMar>
        </w:tblPrEx>
        <w:trPr>
          <w:trHeight w:val="560" w:hRule="atLeast"/>
          <w:tblHeader/>
          <w:jc w:val="center"/>
        </w:trPr>
        <w:tc>
          <w:tcPr>
            <w:tcW w:w="3178" w:type="dxa"/>
            <w:vMerge w:val="continue"/>
            <w:vAlign w:val="center"/>
          </w:tcPr>
          <w:p>
            <w:pPr>
              <w:rPr>
                <w:b/>
              </w:rPr>
            </w:pPr>
          </w:p>
        </w:tc>
        <w:tc>
          <w:tcPr>
            <w:tcW w:w="4321" w:type="dxa"/>
            <w:vMerge w:val="restart"/>
            <w:vAlign w:val="center"/>
          </w:tcPr>
          <w:p>
            <w:pPr>
              <w:jc w:val="center"/>
              <w:rPr>
                <w:sz w:val="24"/>
              </w:rPr>
            </w:pPr>
            <w:r>
              <w:rPr>
                <w:rFonts w:hint="eastAsia"/>
                <w:sz w:val="24"/>
              </w:rPr>
              <w:t>广州白云国际机场</w:t>
            </w:r>
          </w:p>
          <w:p>
            <w:pPr>
              <w:jc w:val="center"/>
              <w:rPr>
                <w:sz w:val="24"/>
              </w:rPr>
            </w:pPr>
            <w:r>
              <w:rPr>
                <w:rFonts w:hint="eastAsia"/>
                <w:sz w:val="24"/>
              </w:rPr>
              <w:t>三期扩建工程空管工程</w:t>
            </w:r>
          </w:p>
          <w:p>
            <w:pPr>
              <w:jc w:val="center"/>
              <w:rPr>
                <w:sz w:val="24"/>
              </w:rPr>
            </w:pPr>
            <w:r>
              <w:rPr>
                <w:rFonts w:hint="eastAsia"/>
                <w:sz w:val="24"/>
              </w:rPr>
              <w:t>气象工程-综合探测场</w:t>
            </w:r>
          </w:p>
          <w:p>
            <w:pPr>
              <w:jc w:val="center"/>
              <w:rPr>
                <w:rFonts w:hint="default" w:eastAsia="宋体"/>
                <w:sz w:val="28"/>
                <w:lang w:val="en-US" w:eastAsia="zh-CN"/>
              </w:rPr>
            </w:pPr>
            <w:r>
              <w:rPr>
                <w:rFonts w:hint="eastAsia"/>
                <w:sz w:val="24"/>
              </w:rPr>
              <w:t>总图</w:t>
            </w:r>
            <w:r>
              <w:rPr>
                <w:rFonts w:hint="eastAsia"/>
                <w:sz w:val="24"/>
                <w:lang w:val="en-US" w:eastAsia="zh-CN"/>
              </w:rPr>
              <w:t>设计</w:t>
            </w:r>
          </w:p>
        </w:tc>
        <w:tc>
          <w:tcPr>
            <w:tcW w:w="2541" w:type="dxa"/>
          </w:tcPr>
          <w:p>
            <w:pPr>
              <w:spacing w:line="360" w:lineRule="auto"/>
              <w:rPr>
                <w:rFonts w:hint="eastAsia" w:eastAsia="宋体"/>
                <w:position w:val="-40"/>
                <w:sz w:val="24"/>
                <w:szCs w:val="24"/>
                <w:lang w:eastAsia="zh-CN"/>
              </w:rPr>
            </w:pPr>
            <w:r>
              <w:rPr>
                <w:rFonts w:hint="eastAsia"/>
                <w:position w:val="-40"/>
                <w:sz w:val="24"/>
                <w:szCs w:val="24"/>
              </w:rPr>
              <w:t>版本号：</w:t>
            </w:r>
            <w:r>
              <w:rPr>
                <w:rFonts w:hint="eastAsia"/>
                <w:position w:val="-40"/>
                <w:sz w:val="24"/>
                <w:szCs w:val="24"/>
                <w:lang w:val="en-US" w:eastAsia="zh-CN"/>
              </w:rPr>
              <w:t>1</w:t>
            </w:r>
          </w:p>
        </w:tc>
      </w:tr>
      <w:tr>
        <w:tblPrEx>
          <w:tblBorders>
            <w:top w:val="single" w:color="auto" w:sz="24" w:space="0"/>
            <w:left w:val="single" w:color="auto" w:sz="24" w:space="0"/>
            <w:bottom w:val="single" w:color="auto" w:sz="24" w:space="0"/>
            <w:right w:val="single" w:color="auto" w:sz="24" w:space="0"/>
            <w:insideH w:val="single" w:color="auto" w:sz="6" w:space="0"/>
            <w:insideV w:val="single" w:color="auto" w:sz="6" w:space="0"/>
          </w:tblBorders>
          <w:tblCellMar>
            <w:top w:w="0" w:type="dxa"/>
            <w:left w:w="108" w:type="dxa"/>
            <w:bottom w:w="0" w:type="dxa"/>
            <w:right w:w="108" w:type="dxa"/>
          </w:tblCellMar>
        </w:tblPrEx>
        <w:trPr>
          <w:trHeight w:val="560" w:hRule="atLeast"/>
          <w:tblHeader/>
          <w:jc w:val="center"/>
        </w:trPr>
        <w:tc>
          <w:tcPr>
            <w:tcW w:w="3178" w:type="dxa"/>
            <w:vAlign w:val="center"/>
          </w:tcPr>
          <w:p>
            <w:pPr>
              <w:rPr>
                <w:rFonts w:hint="eastAsia" w:eastAsia="宋体"/>
                <w:sz w:val="24"/>
                <w:lang w:eastAsia="zh-CN"/>
              </w:rPr>
            </w:pPr>
            <w:r>
              <w:rPr>
                <w:rFonts w:hint="eastAsia"/>
                <w:position w:val="-32"/>
                <w:sz w:val="24"/>
              </w:rPr>
              <w:t>设计号：</w:t>
            </w:r>
            <w:r>
              <w:rPr>
                <w:position w:val="-32"/>
                <w:sz w:val="24"/>
              </w:rPr>
              <w:t>ZY20-0</w:t>
            </w:r>
            <w:r>
              <w:rPr>
                <w:rFonts w:hint="eastAsia"/>
                <w:position w:val="-32"/>
                <w:sz w:val="24"/>
              </w:rPr>
              <w:t>99</w:t>
            </w:r>
            <w:r>
              <w:rPr>
                <w:position w:val="-32"/>
                <w:sz w:val="24"/>
              </w:rPr>
              <w:t>-ZND-</w:t>
            </w:r>
            <w:r>
              <w:rPr>
                <w:rFonts w:hint="eastAsia"/>
                <w:position w:val="-32"/>
                <w:sz w:val="24"/>
                <w:lang w:val="en-US" w:eastAsia="zh-CN"/>
              </w:rPr>
              <w:t>S</w:t>
            </w:r>
          </w:p>
        </w:tc>
        <w:tc>
          <w:tcPr>
            <w:tcW w:w="4321" w:type="dxa"/>
            <w:vMerge w:val="continue"/>
            <w:vAlign w:val="center"/>
          </w:tcPr>
          <w:p>
            <w:pPr>
              <w:jc w:val="center"/>
              <w:rPr>
                <w:sz w:val="28"/>
              </w:rPr>
            </w:pPr>
          </w:p>
        </w:tc>
        <w:tc>
          <w:tcPr>
            <w:tcW w:w="2541" w:type="dxa"/>
          </w:tcPr>
          <w:p>
            <w:pPr>
              <w:rPr>
                <w:position w:val="-38"/>
                <w:sz w:val="24"/>
              </w:rPr>
            </w:pPr>
            <w:r>
              <w:rPr>
                <w:rFonts w:hint="eastAsia"/>
                <w:position w:val="-38"/>
                <w:sz w:val="24"/>
              </w:rPr>
              <w:t>日期：</w:t>
            </w:r>
            <w:r>
              <w:rPr>
                <w:spacing w:val="-20"/>
                <w:position w:val="-38"/>
                <w:sz w:val="24"/>
              </w:rPr>
              <w:t>202</w:t>
            </w:r>
            <w:r>
              <w:rPr>
                <w:rFonts w:hint="eastAsia"/>
                <w:spacing w:val="-20"/>
                <w:position w:val="-38"/>
                <w:sz w:val="24"/>
                <w:lang w:val="en-US" w:eastAsia="zh-CN"/>
              </w:rPr>
              <w:t>3</w:t>
            </w:r>
            <w:r>
              <w:rPr>
                <w:rFonts w:hint="eastAsia"/>
                <w:spacing w:val="-20"/>
                <w:position w:val="-38"/>
                <w:sz w:val="24"/>
              </w:rPr>
              <w:t>年</w:t>
            </w:r>
            <w:r>
              <w:rPr>
                <w:rFonts w:hint="eastAsia"/>
                <w:spacing w:val="-20"/>
                <w:position w:val="-38"/>
                <w:sz w:val="24"/>
                <w:lang w:val="en-US" w:eastAsia="zh-CN"/>
              </w:rPr>
              <w:t>3</w:t>
            </w:r>
            <w:r>
              <w:rPr>
                <w:rFonts w:hint="eastAsia"/>
                <w:spacing w:val="-20"/>
                <w:position w:val="-38"/>
                <w:sz w:val="24"/>
              </w:rPr>
              <w:t>月</w:t>
            </w:r>
          </w:p>
        </w:tc>
      </w:tr>
      <w:tr>
        <w:tblPrEx>
          <w:tblBorders>
            <w:top w:val="single" w:color="auto" w:sz="24" w:space="0"/>
            <w:left w:val="single" w:color="auto" w:sz="24" w:space="0"/>
            <w:bottom w:val="single" w:color="auto" w:sz="24" w:space="0"/>
            <w:right w:val="single" w:color="auto" w:sz="24" w:space="0"/>
            <w:insideH w:val="single" w:color="auto" w:sz="6" w:space="0"/>
            <w:insideV w:val="single" w:color="auto" w:sz="6" w:space="0"/>
          </w:tblBorders>
          <w:tblCellMar>
            <w:top w:w="0" w:type="dxa"/>
            <w:left w:w="108" w:type="dxa"/>
            <w:bottom w:w="0" w:type="dxa"/>
            <w:right w:w="108" w:type="dxa"/>
          </w:tblCellMar>
        </w:tblPrEx>
        <w:trPr>
          <w:jc w:val="center"/>
        </w:trPr>
        <w:tc>
          <w:tcPr>
            <w:tcW w:w="10040" w:type="dxa"/>
            <w:gridSpan w:val="3"/>
          </w:tcPr>
          <w:p>
            <w:pPr>
              <w:numPr>
                <w:ilvl w:val="0"/>
                <w:numId w:val="1"/>
              </w:numPr>
              <w:snapToGrid w:val="0"/>
              <w:spacing w:line="360" w:lineRule="auto"/>
              <w:rPr>
                <w:rFonts w:ascii="宋体" w:hAnsi="宋体"/>
                <w:b/>
                <w:bCs/>
                <w:sz w:val="30"/>
                <w:szCs w:val="30"/>
              </w:rPr>
            </w:pPr>
            <w:r>
              <w:rPr>
                <w:rFonts w:ascii="宋体" w:hAnsi="宋体"/>
                <w:b/>
                <w:bCs/>
                <w:sz w:val="30"/>
                <w:szCs w:val="30"/>
              </w:rPr>
              <w:t>设计依据</w:t>
            </w:r>
            <w:r>
              <w:rPr>
                <w:rFonts w:hint="eastAsia" w:ascii="宋体" w:hAnsi="宋体"/>
                <w:b/>
                <w:bCs/>
                <w:sz w:val="30"/>
                <w:szCs w:val="30"/>
              </w:rPr>
              <w:t>、技术</w:t>
            </w:r>
            <w:r>
              <w:rPr>
                <w:rFonts w:ascii="宋体" w:hAnsi="宋体"/>
                <w:b/>
                <w:bCs/>
                <w:sz w:val="30"/>
                <w:szCs w:val="30"/>
              </w:rPr>
              <w:t>标准</w:t>
            </w:r>
          </w:p>
          <w:p>
            <w:pPr>
              <w:snapToGrid w:val="0"/>
              <w:spacing w:line="360" w:lineRule="auto"/>
              <w:rPr>
                <w:rFonts w:ascii="宋体" w:hAnsi="宋体"/>
                <w:b/>
                <w:bCs/>
                <w:sz w:val="28"/>
                <w:szCs w:val="28"/>
              </w:rPr>
            </w:pPr>
            <w:r>
              <w:rPr>
                <w:rFonts w:ascii="宋体" w:hAnsi="宋体"/>
                <w:b/>
                <w:bCs/>
                <w:sz w:val="28"/>
                <w:szCs w:val="28"/>
              </w:rPr>
              <mc:AlternateContent>
                <mc:Choice Requires="wps">
                  <w:drawing>
                    <wp:anchor distT="0" distB="0" distL="114300" distR="114300" simplePos="0" relativeHeight="251664384" behindDoc="0" locked="1" layoutInCell="0" allowOverlap="1">
                      <wp:simplePos x="0" y="0"/>
                      <wp:positionH relativeFrom="page">
                        <wp:posOffset>1889125</wp:posOffset>
                      </wp:positionH>
                      <wp:positionV relativeFrom="page">
                        <wp:posOffset>2932430</wp:posOffset>
                      </wp:positionV>
                      <wp:extent cx="2883535" cy="1390650"/>
                      <wp:effectExtent l="0" t="3175" r="0" b="0"/>
                      <wp:wrapNone/>
                      <wp:docPr id="6" name="Text Box 9"/>
                      <wp:cNvGraphicFramePr/>
                      <a:graphic xmlns:a="http://schemas.openxmlformats.org/drawingml/2006/main">
                        <a:graphicData uri="http://schemas.microsoft.com/office/word/2010/wordprocessingShape">
                          <wps:wsp>
                            <wps:cNvSpPr txBox="1">
                              <a:spLocks noChangeArrowheads="1"/>
                            </wps:cNvSpPr>
                            <wps:spPr bwMode="auto">
                              <a:xfrm>
                                <a:off x="0" y="0"/>
                                <a:ext cx="2883535" cy="1390650"/>
                              </a:xfrm>
                              <a:prstGeom prst="rect">
                                <a:avLst/>
                              </a:prstGeom>
                              <a:noFill/>
                              <a:ln>
                                <a:noFill/>
                              </a:ln>
                            </wps:spPr>
                            <wps:txbx>
                              <w:txbxContent>
                                <w:p>
                                  <w:pPr>
                                    <w:spacing w:before="163" w:after="163"/>
                                    <w:ind w:firstLine="480"/>
                                  </w:pPr>
                                  <w:bookmarkStart w:id="0" w:name="LZOF_N资质章_T3_M2_R4"/>
                                  <w:bookmarkEnd w:id="0"/>
                                </w:p>
                              </w:txbxContent>
                            </wps:txbx>
                            <wps:bodyPr rot="0" vert="horz" wrap="square" lIns="91440" tIns="45720" rIns="91440" bIns="45720" anchor="t" anchorCtr="0" upright="1">
                              <a:noAutofit/>
                            </wps:bodyPr>
                          </wps:wsp>
                        </a:graphicData>
                      </a:graphic>
                    </wp:anchor>
                  </w:drawing>
                </mc:Choice>
                <mc:Fallback>
                  <w:pict>
                    <v:shape id="Text Box 9" o:spid="_x0000_s1026" o:spt="202" type="#_x0000_t202" style="position:absolute;left:0pt;margin-left:148.75pt;margin-top:230.9pt;height:109.5pt;width:227.05pt;mso-position-horizontal-relative:page;mso-position-vertical-relative:page;z-index:251664384;mso-width-relative:page;mso-height-relative:page;" filled="f" stroked="f" coordsize="21600,21600" o:allowincell="f" o:gfxdata="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AAAAAZHJzL1BLAQIUABQAAAAIAIdO4kB6jQxH2AAAAAsBAAAPAAAAAAAAAAEAIAAAACIA&#10;AABkcnMvZG93bnJldi54bWxQSwECFAAUAAAACACHTuJAakfeCgkCAAAVBAAADgAAAAAAAAABACAA&#10;AAAnAQAAZHJzL2Uyb0RvYy54bWxQSwUGAAAAAAYABgBZAQAAogUAAAAA&#10;">
                      <v:fill on="f" focussize="0,0"/>
                      <v:stroke on="f"/>
                      <v:imagedata o:title=""/>
                      <o:lock v:ext="edit" aspectratio="f"/>
                      <v:textbox>
                        <w:txbxContent>
                          <w:p>
                            <w:pPr>
                              <w:spacing w:before="163" w:after="163"/>
                              <w:ind w:firstLine="480"/>
                            </w:pPr>
                            <w:bookmarkStart w:id="0" w:name="LZOF_N资质章_T3_M2_R4"/>
                            <w:bookmarkEnd w:id="0"/>
                          </w:p>
                        </w:txbxContent>
                      </v:textbox>
                      <w10:anchorlock/>
                    </v:shape>
                  </w:pict>
                </mc:Fallback>
              </mc:AlternateContent>
            </w:r>
            <w:r>
              <w:rPr>
                <w:rFonts w:hint="eastAsia" w:ascii="宋体" w:hAnsi="宋体"/>
                <w:b/>
                <w:bCs/>
                <w:sz w:val="28"/>
                <w:szCs w:val="28"/>
              </w:rPr>
              <w:t>1.1设计依据</w:t>
            </w:r>
          </w:p>
          <w:p>
            <w:pPr>
              <w:pStyle w:val="13"/>
              <w:numPr>
                <w:ilvl w:val="0"/>
                <w:numId w:val="2"/>
              </w:numPr>
              <w:ind w:left="426" w:firstLineChars="0"/>
            </w:pPr>
            <w:r>
              <w:rPr>
                <w:rFonts w:hint="eastAsia"/>
              </w:rPr>
              <w:t>《广州白云国内机场三期扩建工程飞行区设计合同》（合同编号：20-37-0023-0），广东省机场管理集团有限公司工程建设指挥部，2020年6月；</w:t>
            </w:r>
          </w:p>
          <w:p>
            <w:pPr>
              <w:pStyle w:val="13"/>
              <w:numPr>
                <w:ilvl w:val="0"/>
                <w:numId w:val="2"/>
              </w:numPr>
              <w:ind w:left="426" w:firstLineChars="0"/>
            </w:pPr>
            <w:r>
              <w:rPr>
                <w:rFonts w:hint="eastAsia"/>
              </w:rPr>
              <w:t>《民航局关于广州白云国内机场总体规划的批复》（民航函 [2020]275 号），民航局，2020年4月；</w:t>
            </w:r>
          </w:p>
          <w:p>
            <w:pPr>
              <w:pStyle w:val="13"/>
              <w:numPr>
                <w:ilvl w:val="0"/>
                <w:numId w:val="2"/>
              </w:numPr>
              <w:ind w:left="426" w:firstLineChars="0"/>
            </w:pPr>
            <w:r>
              <w:rPr>
                <w:rFonts w:hint="eastAsia"/>
              </w:rPr>
              <w:t>《国家发展改革委关于广州白云国内机场三期扩建工程项目建议书的批复》，国家发改委，2020年5月；</w:t>
            </w:r>
          </w:p>
          <w:p>
            <w:pPr>
              <w:pStyle w:val="13"/>
              <w:numPr>
                <w:ilvl w:val="0"/>
                <w:numId w:val="2"/>
              </w:numPr>
              <w:ind w:left="426" w:firstLineChars="0"/>
            </w:pPr>
            <w:r>
              <w:rPr>
                <w:rFonts w:hint="eastAsia"/>
              </w:rPr>
              <w:t>《广州白云国内机场三期扩建工程可行性研究报告》，民航机场规划设计研究总院有限公司，2020年7月；</w:t>
            </w:r>
          </w:p>
          <w:p>
            <w:pPr>
              <w:pStyle w:val="13"/>
              <w:numPr>
                <w:ilvl w:val="0"/>
                <w:numId w:val="2"/>
              </w:numPr>
              <w:ind w:left="426" w:firstLineChars="0"/>
            </w:pPr>
            <w:r>
              <w:rPr>
                <w:rFonts w:hint="eastAsia"/>
              </w:rPr>
              <w:t>《关于广州白云国内机场三期扩建工程可行性研究报告的评估报告》，中国民航工程咨询有限公司，2020年8月；</w:t>
            </w:r>
          </w:p>
          <w:p>
            <w:pPr>
              <w:pStyle w:val="13"/>
              <w:numPr>
                <w:ilvl w:val="0"/>
                <w:numId w:val="2"/>
              </w:numPr>
              <w:ind w:left="426" w:firstLineChars="0"/>
            </w:pPr>
            <w:r>
              <w:rPr>
                <w:rFonts w:ascii="宋体" w:hAnsi="宋体"/>
                <w:b/>
                <w:bCs/>
              </w:rPr>
              <mc:AlternateContent>
                <mc:Choice Requires="wps">
                  <w:drawing>
                    <wp:anchor distT="0" distB="0" distL="114300" distR="114300" simplePos="0" relativeHeight="251663360" behindDoc="0" locked="0" layoutInCell="0" allowOverlap="1">
                      <wp:simplePos x="0" y="0"/>
                      <wp:positionH relativeFrom="page">
                        <wp:posOffset>1830705</wp:posOffset>
                      </wp:positionH>
                      <wp:positionV relativeFrom="page">
                        <wp:posOffset>4256405</wp:posOffset>
                      </wp:positionV>
                      <wp:extent cx="2952115" cy="1871980"/>
                      <wp:effectExtent l="0" t="0" r="4445" b="0"/>
                      <wp:wrapNone/>
                      <wp:docPr id="5" name="Text Box 8"/>
                      <wp:cNvGraphicFramePr/>
                      <a:graphic xmlns:a="http://schemas.openxmlformats.org/drawingml/2006/main">
                        <a:graphicData uri="http://schemas.microsoft.com/office/word/2010/wordprocessingShape">
                          <wps:wsp>
                            <wps:cNvSpPr txBox="1">
                              <a:spLocks noChangeArrowheads="1"/>
                            </wps:cNvSpPr>
                            <wps:spPr bwMode="auto">
                              <a:xfrm>
                                <a:off x="0" y="0"/>
                                <a:ext cx="2952115" cy="1871980"/>
                              </a:xfrm>
                              <a:prstGeom prst="rect">
                                <a:avLst/>
                              </a:prstGeom>
                              <a:noFill/>
                              <a:ln>
                                <a:noFill/>
                              </a:ln>
                            </wps:spPr>
                            <wps:txbx>
                              <w:txbxContent>
                                <w:p>
                                  <w:pPr>
                                    <w:spacing w:before="163" w:after="163"/>
                                    <w:ind w:firstLine="480"/>
                                  </w:pPr>
                                  <w:bookmarkStart w:id="1" w:name="LZOF_N出版章_T3_M1_R4"/>
                                  <w:bookmarkEnd w:id="1"/>
                                </w:p>
                              </w:txbxContent>
                            </wps:txbx>
                            <wps:bodyPr rot="0" vert="horz" wrap="square" lIns="91440" tIns="45720" rIns="91440" bIns="45720" anchor="t" anchorCtr="0" upright="1">
                              <a:noAutofit/>
                            </wps:bodyPr>
                          </wps:wsp>
                        </a:graphicData>
                      </a:graphic>
                    </wp:anchor>
                  </w:drawing>
                </mc:Choice>
                <mc:Fallback>
                  <w:pict>
                    <v:shape id="Text Box 8" o:spid="_x0000_s1026" o:spt="202" type="#_x0000_t202" style="position:absolute;left:0pt;margin-left:144.15pt;margin-top:335.15pt;height:147.4pt;width:232.45pt;mso-position-horizontal-relative:page;mso-position-vertical-relative:page;z-index:251663360;mso-width-relative:page;mso-height-relative:page;" filled="f" stroked="f" coordsize="21600,21600" o:allowincell="f" o:gfxdata="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AAAAAZHJzL1BLAQIUABQAAAAIAIdO4kDJBjdj2QAAAAsBAAAPAAAAAAAAAAEAIAAAACIA&#10;AABkcnMvZG93bnJldi54bWxQSwECFAAUAAAACACHTuJAbsU3jwgCAAAVBAAADgAAAAAAAAABACAA&#10;AAAoAQAAZHJzL2Uyb0RvYy54bWxQSwUGAAAAAAYABgBZAQAAogUAAAAA&#10;">
                      <v:fill on="f" focussize="0,0"/>
                      <v:stroke on="f"/>
                      <v:imagedata o:title=""/>
                      <o:lock v:ext="edit" aspectratio="f"/>
                      <v:textbox>
                        <w:txbxContent>
                          <w:p>
                            <w:pPr>
                              <w:spacing w:before="163" w:after="163"/>
                              <w:ind w:firstLine="480"/>
                            </w:pPr>
                            <w:bookmarkStart w:id="1" w:name="LZOF_N出版章_T3_M1_R4"/>
                            <w:bookmarkEnd w:id="1"/>
                          </w:p>
                        </w:txbxContent>
                      </v:textbox>
                    </v:shape>
                  </w:pict>
                </mc:Fallback>
              </mc:AlternateContent>
            </w:r>
            <w:r>
              <w:rPr>
                <w:rFonts w:hint="eastAsia"/>
              </w:rPr>
              <w:t>《国家发展改革委关于广州白云国内机场三期扩建工程项目可行性研究报告的批复》，国家发改委，2020年8月；</w:t>
            </w:r>
          </w:p>
          <w:p>
            <w:pPr>
              <w:snapToGrid w:val="0"/>
              <w:spacing w:line="360" w:lineRule="auto"/>
              <w:rPr>
                <w:rFonts w:ascii="宋体" w:hAnsi="宋体"/>
                <w:b/>
                <w:bCs/>
                <w:sz w:val="28"/>
                <w:szCs w:val="28"/>
              </w:rPr>
            </w:pPr>
            <w:r>
              <w:rPr>
                <w:rFonts w:hint="eastAsia" w:ascii="宋体" w:hAnsi="宋体"/>
                <w:b/>
                <w:bCs/>
                <w:sz w:val="28"/>
                <w:szCs w:val="28"/>
              </w:rPr>
              <w:t>1.2技术标准</w:t>
            </w:r>
          </w:p>
          <w:p>
            <w:pPr>
              <w:spacing w:line="360" w:lineRule="auto"/>
              <w:ind w:firstLine="560" w:firstLineChars="200"/>
              <w:rPr>
                <w:sz w:val="28"/>
                <w:szCs w:val="28"/>
              </w:rPr>
            </w:pPr>
            <w:r>
              <w:rPr>
                <w:sz w:val="28"/>
                <w:szCs w:val="28"/>
              </w:rPr>
              <w:t>国家与行业标准及技术规范</w:t>
            </w:r>
            <w:r>
              <w:rPr>
                <w:rFonts w:hint="eastAsia"/>
                <w:sz w:val="28"/>
                <w:szCs w:val="28"/>
              </w:rPr>
              <w:t>：</w:t>
            </w:r>
          </w:p>
          <w:p>
            <w:pPr>
              <w:pStyle w:val="13"/>
              <w:numPr>
                <w:ilvl w:val="0"/>
                <w:numId w:val="3"/>
              </w:numPr>
              <w:ind w:left="434" w:hanging="434" w:firstLineChars="0"/>
            </w:pPr>
            <w:r>
              <w:rPr>
                <w:rFonts w:hint="eastAsia"/>
              </w:rPr>
              <w:t>《民用机场管理条例》中华人民共和国国务院令第553号；</w:t>
            </w:r>
          </w:p>
          <w:p>
            <w:pPr>
              <w:pStyle w:val="13"/>
              <w:numPr>
                <w:ilvl w:val="0"/>
                <w:numId w:val="3"/>
              </w:numPr>
              <w:ind w:left="426" w:firstLineChars="0"/>
            </w:pPr>
            <w:r>
              <w:rPr>
                <w:rFonts w:ascii="宋体" w:hAnsi="宋体"/>
                <w:b/>
                <w:bCs/>
                <w:szCs w:val="28"/>
              </w:rPr>
              <mc:AlternateContent>
                <mc:Choice Requires="wps">
                  <w:drawing>
                    <wp:anchor distT="0" distB="0" distL="114300" distR="114300" simplePos="0" relativeHeight="251662336" behindDoc="0" locked="0" layoutInCell="0" allowOverlap="1">
                      <wp:simplePos x="0" y="0"/>
                      <wp:positionH relativeFrom="page">
                        <wp:posOffset>1922145</wp:posOffset>
                      </wp:positionH>
                      <wp:positionV relativeFrom="page">
                        <wp:posOffset>6247765</wp:posOffset>
                      </wp:positionV>
                      <wp:extent cx="2711450" cy="1360170"/>
                      <wp:effectExtent l="0" t="0" r="0" b="0"/>
                      <wp:wrapNone/>
                      <wp:docPr id="4" name="Text Box 7"/>
                      <wp:cNvGraphicFramePr/>
                      <a:graphic xmlns:a="http://schemas.openxmlformats.org/drawingml/2006/main">
                        <a:graphicData uri="http://schemas.microsoft.com/office/word/2010/wordprocessingShape">
                          <wps:wsp>
                            <wps:cNvSpPr txBox="1">
                              <a:spLocks noChangeArrowheads="1"/>
                            </wps:cNvSpPr>
                            <wps:spPr bwMode="auto">
                              <a:xfrm>
                                <a:off x="0" y="0"/>
                                <a:ext cx="2711450" cy="1360170"/>
                              </a:xfrm>
                              <a:prstGeom prst="rect">
                                <a:avLst/>
                              </a:prstGeom>
                              <a:noFill/>
                              <a:ln>
                                <a:noFill/>
                              </a:ln>
                            </wps:spPr>
                            <wps:txbx>
                              <w:txbxContent>
                                <w:p>
                                  <w:bookmarkStart w:id="2" w:name="LZOF_NQTZ_T3_M4_R4"/>
                                  <w:bookmarkEnd w:id="2"/>
                                </w:p>
                              </w:txbxContent>
                            </wps:txbx>
                            <wps:bodyPr rot="0" vert="horz" wrap="square" lIns="91440" tIns="45720" rIns="91440" bIns="45720" anchor="t" anchorCtr="0" upright="1">
                              <a:noAutofit/>
                            </wps:bodyPr>
                          </wps:wsp>
                        </a:graphicData>
                      </a:graphic>
                    </wp:anchor>
                  </w:drawing>
                </mc:Choice>
                <mc:Fallback>
                  <w:pict>
                    <v:shape id="Text Box 7" o:spid="_x0000_s1026" o:spt="202" type="#_x0000_t202" style="position:absolute;left:0pt;margin-left:151.35pt;margin-top:491.95pt;height:107.1pt;width:213.5pt;mso-position-horizontal-relative:page;mso-position-vertical-relative:page;z-index:251662336;mso-width-relative:page;mso-height-relative:page;" filled="f" stroked="f" coordsize="21600,21600" o:allowincell="f" o:gfxdata="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">
                      <v:fill on="f" focussize="0,0"/>
                      <v:stroke on="f"/>
                      <v:imagedata o:title=""/>
                      <o:lock v:ext="edit" aspectratio="f"/>
                      <v:textbox>
                        <w:txbxContent>
                          <w:p>
                            <w:bookmarkStart w:id="2" w:name="LZOF_NQTZ_T3_M4_R4"/>
                            <w:bookmarkEnd w:id="2"/>
                          </w:p>
                        </w:txbxContent>
                      </v:textbox>
                    </v:shape>
                  </w:pict>
                </mc:Fallback>
              </mc:AlternateContent>
            </w:r>
            <w:r>
              <w:rPr>
                <w:rFonts w:hint="eastAsia"/>
              </w:rPr>
              <w:t>《民用机场建设管理规定》</w:t>
            </w:r>
            <w:r>
              <w:t>交通运输部令2016年第47号</w:t>
            </w:r>
            <w:r>
              <w:rPr>
                <w:rFonts w:hint="eastAsia"/>
              </w:rPr>
              <w:t>；</w:t>
            </w:r>
          </w:p>
          <w:p>
            <w:pPr>
              <w:pStyle w:val="13"/>
              <w:numPr>
                <w:ilvl w:val="0"/>
                <w:numId w:val="3"/>
              </w:numPr>
              <w:ind w:left="426" w:firstLineChars="0"/>
            </w:pPr>
            <w:r>
              <w:rPr>
                <w:rFonts w:hint="eastAsia"/>
              </w:rPr>
              <w:t>《民用机场飞行区技术标准》（MH5001-2013）及</w:t>
            </w:r>
            <w:r>
              <w:t>第一修订案</w:t>
            </w:r>
            <w:r>
              <w:rPr>
                <w:rFonts w:hint="eastAsia"/>
              </w:rPr>
              <w:t>；</w:t>
            </w:r>
          </w:p>
          <w:p>
            <w:pPr>
              <w:pStyle w:val="13"/>
              <w:numPr>
                <w:ilvl w:val="0"/>
                <w:numId w:val="3"/>
              </w:numPr>
              <w:ind w:left="426" w:firstLineChars="0"/>
            </w:pPr>
            <w:r>
              <w:rPr>
                <w:rFonts w:hint="eastAsia"/>
              </w:rPr>
              <w:t>《民用机场总体规划规范》（</w:t>
            </w:r>
            <w:r>
              <w:t>MH5002-1999</w:t>
            </w:r>
            <w:r>
              <w:rPr>
                <w:rFonts w:hint="eastAsia"/>
              </w:rPr>
              <w:t>）；</w:t>
            </w:r>
          </w:p>
          <w:p>
            <w:pPr>
              <w:pStyle w:val="13"/>
              <w:numPr>
                <w:ilvl w:val="0"/>
                <w:numId w:val="3"/>
              </w:numPr>
              <w:ind w:left="434" w:hanging="434" w:firstLineChars="0"/>
            </w:pPr>
            <w:r>
              <w:rPr>
                <w:rFonts w:hint="eastAsia"/>
              </w:rPr>
              <w:t xml:space="preserve">《建筑设计防火规范》 </w:t>
            </w:r>
            <w:r>
              <w:t xml:space="preserve"> GB50016-201</w:t>
            </w:r>
            <w:r>
              <w:rPr>
                <w:rFonts w:hint="eastAsia"/>
              </w:rPr>
              <w:t>4（2018年版）；</w:t>
            </w:r>
          </w:p>
          <w:p>
            <w:pPr>
              <w:pStyle w:val="13"/>
              <w:numPr>
                <w:ilvl w:val="0"/>
                <w:numId w:val="3"/>
              </w:numPr>
              <w:ind w:left="426" w:firstLineChars="0"/>
            </w:pPr>
            <w:r>
              <w:fldChar w:fldCharType="begin"/>
            </w:r>
            <w:r>
              <w:instrText xml:space="preserve"> HYPERLINK "https://www.soujianzhu.cn/Norm/JzzyXq.aspx?id=386" </w:instrText>
            </w:r>
            <w:r>
              <w:fldChar w:fldCharType="separate"/>
            </w:r>
            <w:r>
              <w:rPr>
                <w:rFonts w:hint="eastAsia"/>
              </w:rPr>
              <w:t xml:space="preserve">《民用建筑设计统一标准》 </w:t>
            </w:r>
            <w:r>
              <w:t xml:space="preserve"> </w:t>
            </w:r>
            <w:r>
              <w:rPr>
                <w:rFonts w:hint="eastAsia"/>
              </w:rPr>
              <w:t>GB 50352-2019</w:t>
            </w:r>
            <w:r>
              <w:rPr>
                <w:rFonts w:hint="eastAsia"/>
              </w:rPr>
              <w:fldChar w:fldCharType="end"/>
            </w:r>
            <w:r>
              <w:rPr>
                <w:rFonts w:hint="eastAsia"/>
              </w:rPr>
              <w:t>；</w:t>
            </w:r>
          </w:p>
          <w:p>
            <w:pPr>
              <w:pStyle w:val="13"/>
              <w:numPr>
                <w:ilvl w:val="0"/>
                <w:numId w:val="3"/>
              </w:numPr>
              <w:ind w:left="434" w:hanging="434" w:firstLineChars="0"/>
            </w:pPr>
            <w:r>
              <w:rPr>
                <w:rFonts w:hint="eastAsia"/>
              </w:rPr>
              <w:t>《工业企业总平面设计规范》（GB50187-2012）；</w:t>
            </w:r>
          </w:p>
          <w:p>
            <w:pPr>
              <w:pStyle w:val="13"/>
              <w:numPr>
                <w:ilvl w:val="0"/>
                <w:numId w:val="3"/>
              </w:numPr>
              <w:ind w:left="426" w:firstLineChars="0"/>
            </w:pPr>
            <w:r>
              <w:rPr>
                <w:rFonts w:hint="eastAsia"/>
                <w:szCs w:val="28"/>
              </w:rPr>
              <w:t>《</w:t>
            </w:r>
            <w:r>
              <w:rPr>
                <w:szCs w:val="28"/>
              </w:rPr>
              <w:t>城市工程管线综合规划规范》</w:t>
            </w:r>
            <w:r>
              <w:rPr>
                <w:rFonts w:hint="eastAsia"/>
                <w:szCs w:val="28"/>
              </w:rPr>
              <w:t>（</w:t>
            </w:r>
            <w:r>
              <w:rPr>
                <w:szCs w:val="28"/>
              </w:rPr>
              <w:t>GB 50289-</w:t>
            </w:r>
            <w:r>
              <w:rPr>
                <w:rFonts w:hint="eastAsia"/>
                <w:szCs w:val="28"/>
              </w:rPr>
              <w:t>2016</w:t>
            </w:r>
            <w:r>
              <w:rPr>
                <w:szCs w:val="28"/>
              </w:rPr>
              <w:t>）</w:t>
            </w:r>
            <w:r>
              <w:rPr>
                <w:rFonts w:hint="eastAsia"/>
                <w:szCs w:val="28"/>
              </w:rPr>
              <w:t>；</w:t>
            </w:r>
          </w:p>
          <w:p>
            <w:pPr>
              <w:pStyle w:val="13"/>
              <w:numPr>
                <w:ilvl w:val="0"/>
                <w:numId w:val="3"/>
              </w:numPr>
              <w:ind w:left="426" w:firstLineChars="0"/>
            </w:pPr>
            <w:r>
              <w:rPr>
                <w:rFonts w:hint="eastAsia" w:ascii="宋体" w:hAnsi="宋体"/>
                <w:szCs w:val="28"/>
              </w:rPr>
              <w:t>国家其他现行的有关标准和规范。</w:t>
            </w:r>
          </w:p>
          <w:p>
            <w:pPr>
              <w:numPr>
                <w:ilvl w:val="0"/>
                <w:numId w:val="1"/>
              </w:numPr>
              <w:snapToGrid w:val="0"/>
              <w:spacing w:line="360" w:lineRule="auto"/>
              <w:rPr>
                <w:rFonts w:ascii="宋体" w:hAnsi="宋体"/>
                <w:b/>
                <w:bCs/>
                <w:sz w:val="30"/>
                <w:szCs w:val="30"/>
              </w:rPr>
            </w:pPr>
            <w:r>
              <w:rPr>
                <w:rFonts w:hint="eastAsia" w:ascii="宋体" w:hAnsi="宋体"/>
                <w:b/>
                <w:bCs/>
                <w:sz w:val="30"/>
                <w:szCs w:val="30"/>
              </w:rPr>
              <w:t>基础资料</w:t>
            </w:r>
          </w:p>
          <w:p>
            <w:pPr>
              <w:pStyle w:val="13"/>
              <w:numPr>
                <w:ilvl w:val="0"/>
                <w:numId w:val="4"/>
              </w:numPr>
              <w:ind w:left="426" w:firstLineChars="0"/>
            </w:pPr>
            <w:r>
              <w:rPr>
                <w:rFonts w:hint="eastAsia"/>
              </w:rPr>
              <w:t>白云</w:t>
            </w:r>
            <w:r>
              <w:t>机场1:1000</w:t>
            </w:r>
            <w:r>
              <w:rPr>
                <w:rFonts w:hint="eastAsia"/>
              </w:rPr>
              <w:t>现状</w:t>
            </w:r>
            <w:r>
              <w:t>地形测量图</w:t>
            </w:r>
            <w:r>
              <w:rPr>
                <w:rFonts w:hint="eastAsia"/>
              </w:rPr>
              <w:t>；</w:t>
            </w:r>
            <w:r>
              <w:t xml:space="preserve"> </w:t>
            </w:r>
          </w:p>
          <w:p>
            <w:pPr>
              <w:pStyle w:val="13"/>
              <w:numPr>
                <w:ilvl w:val="0"/>
                <w:numId w:val="4"/>
              </w:numPr>
              <w:ind w:left="426" w:firstLineChars="0"/>
            </w:pPr>
            <w:r>
              <w:rPr>
                <w:rFonts w:hint="eastAsia"/>
                <w:szCs w:val="28"/>
              </w:rPr>
              <w:t>《广州白云国内</w:t>
            </w:r>
            <w:r>
              <w:rPr>
                <w:szCs w:val="28"/>
              </w:rPr>
              <w:t>机场</w:t>
            </w:r>
            <w:r>
              <w:rPr>
                <w:rFonts w:hint="eastAsia"/>
                <w:szCs w:val="28"/>
              </w:rPr>
              <w:t>总体规划</w:t>
            </w:r>
            <w:r>
              <w:rPr>
                <w:szCs w:val="28"/>
              </w:rPr>
              <w:t>（</w:t>
            </w:r>
            <w:r>
              <w:rPr>
                <w:rFonts w:hint="eastAsia"/>
                <w:szCs w:val="28"/>
              </w:rPr>
              <w:t>2020年</w:t>
            </w:r>
            <w:r>
              <w:rPr>
                <w:szCs w:val="28"/>
              </w:rPr>
              <w:t>版）</w:t>
            </w:r>
            <w:r>
              <w:rPr>
                <w:rFonts w:hint="eastAsia"/>
                <w:szCs w:val="28"/>
              </w:rPr>
              <w:t>》</w:t>
            </w:r>
            <w:r>
              <w:t>设计图纸（</w:t>
            </w:r>
            <w:r>
              <w:rPr>
                <w:rFonts w:hint="eastAsia"/>
                <w:szCs w:val="28"/>
              </w:rPr>
              <w:t>民航机场</w:t>
            </w:r>
            <w:r>
              <w:rPr>
                <w:szCs w:val="28"/>
              </w:rPr>
              <w:t>规划设计研究总院有限公司</w:t>
            </w:r>
            <w:r>
              <w:t>）</w:t>
            </w:r>
            <w:r>
              <w:rPr>
                <w:rFonts w:hint="eastAsia"/>
              </w:rPr>
              <w:t>；</w:t>
            </w:r>
          </w:p>
          <w:p>
            <w:pPr>
              <w:pStyle w:val="13"/>
              <w:numPr>
                <w:ilvl w:val="0"/>
                <w:numId w:val="4"/>
              </w:numPr>
              <w:ind w:left="426" w:firstLineChars="0"/>
            </w:pPr>
            <w:r>
              <w:rPr>
                <w:rFonts w:hint="eastAsia"/>
                <w:szCs w:val="28"/>
              </w:rPr>
              <w:t>《广州白云国内</w:t>
            </w:r>
            <w:r>
              <w:rPr>
                <w:szCs w:val="28"/>
              </w:rPr>
              <w:t>机场三期扩建工程</w:t>
            </w:r>
            <w:r>
              <w:rPr>
                <w:rFonts w:hint="eastAsia"/>
                <w:szCs w:val="28"/>
              </w:rPr>
              <w:t>可行性研究报告》</w:t>
            </w:r>
            <w:r>
              <w:rPr>
                <w:rFonts w:hint="eastAsia"/>
              </w:rPr>
              <w:t>设计图纸</w:t>
            </w:r>
            <w:r>
              <w:t>（</w:t>
            </w:r>
            <w:r>
              <w:rPr>
                <w:rFonts w:hint="eastAsia"/>
                <w:szCs w:val="28"/>
              </w:rPr>
              <w:t>民航机场</w:t>
            </w:r>
            <w:r>
              <w:rPr>
                <w:szCs w:val="28"/>
              </w:rPr>
              <w:t>规划设计研究总院有限公司</w:t>
            </w:r>
            <w:r>
              <w:t>）。</w:t>
            </w:r>
          </w:p>
          <w:p>
            <w:pPr>
              <w:numPr>
                <w:ilvl w:val="0"/>
                <w:numId w:val="1"/>
              </w:numPr>
              <w:snapToGrid w:val="0"/>
              <w:spacing w:line="360" w:lineRule="auto"/>
              <w:rPr>
                <w:rFonts w:ascii="宋体" w:hAnsi="宋体"/>
                <w:b/>
                <w:bCs/>
                <w:sz w:val="30"/>
                <w:szCs w:val="30"/>
              </w:rPr>
            </w:pPr>
            <w:r>
              <w:rPr>
                <w:rFonts w:hint="eastAsia" w:ascii="宋体" w:hAnsi="宋体"/>
                <w:b/>
                <w:bCs/>
                <w:sz w:val="30"/>
                <w:szCs w:val="30"/>
              </w:rPr>
              <w:t>总平面布置</w:t>
            </w:r>
          </w:p>
          <w:p>
            <w:pPr>
              <w:snapToGrid w:val="0"/>
              <w:spacing w:line="360" w:lineRule="auto"/>
              <w:ind w:firstLine="560" w:firstLineChars="200"/>
              <w:rPr>
                <w:rFonts w:ascii="宋体" w:hAnsi="宋体"/>
                <w:sz w:val="28"/>
                <w:szCs w:val="28"/>
              </w:rPr>
            </w:pPr>
            <w:r>
              <w:rPr>
                <w:rFonts w:hint="eastAsia" w:ascii="宋体" w:hAnsi="宋体"/>
                <w:sz w:val="28"/>
                <w:szCs w:val="28"/>
              </w:rPr>
              <w:t xml:space="preserve">本项目为广州白云国际机场三期扩建工程中空管工程，新建气象工程探测场小区。 </w:t>
            </w:r>
          </w:p>
          <w:p>
            <w:pPr>
              <w:snapToGrid w:val="0"/>
              <w:spacing w:line="360" w:lineRule="auto"/>
              <w:ind w:firstLine="560" w:firstLineChars="200"/>
              <w:rPr>
                <w:rFonts w:ascii="宋体" w:hAnsi="宋体"/>
                <w:sz w:val="28"/>
                <w:szCs w:val="28"/>
              </w:rPr>
            </w:pPr>
            <w:r>
              <w:rPr>
                <w:rFonts w:hint="eastAsia" w:ascii="宋体" w:hAnsi="宋体"/>
                <w:sz w:val="28"/>
                <w:szCs w:val="28"/>
              </w:rPr>
              <w:t>（1）</w:t>
            </w:r>
            <w:r>
              <w:rPr>
                <w:rFonts w:hint="eastAsia" w:ascii="宋体" w:hAnsi="宋体"/>
                <w:b/>
                <w:bCs/>
                <w:sz w:val="28"/>
                <w:szCs w:val="28"/>
              </w:rPr>
              <w:t>气象工程综合探测场</w:t>
            </w:r>
          </w:p>
          <w:p>
            <w:pPr>
              <w:snapToGrid w:val="0"/>
              <w:spacing w:line="360" w:lineRule="auto"/>
              <w:ind w:firstLine="560" w:firstLineChars="200"/>
              <w:rPr>
                <w:rFonts w:ascii="宋体" w:hAnsi="宋体"/>
                <w:sz w:val="28"/>
                <w:szCs w:val="28"/>
              </w:rPr>
            </w:pPr>
            <w:r>
              <w:rPr>
                <w:rFonts w:hint="eastAsia" w:ascii="宋体" w:hAnsi="宋体"/>
                <w:sz w:val="28"/>
                <w:szCs w:val="28"/>
              </w:rPr>
              <w:t>位于陆侧东三跑道南端的工作区内，距东南跑道二平滑南端约400m。小区总用地面积为13300㎡，综合探测楼建筑面积为</w:t>
            </w:r>
            <w:r>
              <w:rPr>
                <w:rFonts w:hint="eastAsia" w:ascii="宋体" w:hAnsi="宋体"/>
                <w:sz w:val="28"/>
                <w:szCs w:val="28"/>
                <w:lang w:val="en-US" w:eastAsia="zh-CN"/>
              </w:rPr>
              <w:t>494</w:t>
            </w:r>
            <w:r>
              <w:rPr>
                <w:rFonts w:hint="eastAsia" w:ascii="宋体" w:hAnsi="宋体"/>
                <w:sz w:val="28"/>
                <w:szCs w:val="28"/>
              </w:rPr>
              <w:t>㎡。</w:t>
            </w:r>
          </w:p>
          <w:p>
            <w:pPr>
              <w:snapToGrid w:val="0"/>
              <w:spacing w:line="360" w:lineRule="auto"/>
              <w:ind w:firstLine="560" w:firstLineChars="200"/>
              <w:rPr>
                <w:rFonts w:ascii="宋体" w:hAnsi="宋体"/>
                <w:sz w:val="28"/>
                <w:szCs w:val="28"/>
              </w:rPr>
            </w:pPr>
            <w:r>
              <w:rPr>
                <w:rFonts w:hint="eastAsia" w:ascii="宋体" w:hAnsi="宋体"/>
                <w:sz w:val="28"/>
                <w:szCs w:val="28"/>
              </w:rPr>
              <w:t>机场对本地块的净空限高为</w:t>
            </w:r>
            <w:r>
              <w:rPr>
                <w:rFonts w:hint="eastAsia" w:ascii="宋体" w:hAnsi="宋体"/>
                <w:sz w:val="28"/>
                <w:szCs w:val="28"/>
                <w:lang w:val="en-US" w:eastAsia="zh-CN"/>
              </w:rPr>
              <w:t>32</w:t>
            </w:r>
            <w:r>
              <w:rPr>
                <w:rFonts w:hint="eastAsia" w:ascii="宋体" w:hAnsi="宋体"/>
                <w:sz w:val="28"/>
                <w:szCs w:val="28"/>
              </w:rPr>
              <w:t>m（绝对高程）。综合探测楼为最高建筑，建筑高度为13.</w:t>
            </w:r>
            <w:r>
              <w:rPr>
                <w:rFonts w:hint="eastAsia" w:ascii="宋体" w:hAnsi="宋体"/>
                <w:sz w:val="28"/>
                <w:szCs w:val="28"/>
                <w:lang w:val="en-US" w:eastAsia="zh-CN"/>
              </w:rPr>
              <w:t>5</w:t>
            </w:r>
            <w:r>
              <w:rPr>
                <w:rFonts w:hint="eastAsia" w:ascii="宋体" w:hAnsi="宋体"/>
                <w:sz w:val="28"/>
                <w:szCs w:val="28"/>
              </w:rPr>
              <w:t>m，</w:t>
            </w:r>
            <w:r>
              <w:rPr>
                <w:rFonts w:hint="eastAsia" w:ascii="宋体" w:hAnsi="宋体"/>
                <w:sz w:val="28"/>
                <w:szCs w:val="28"/>
                <w:lang w:val="en-US" w:eastAsia="zh-CN"/>
              </w:rPr>
              <w:t>楼顶设空管设备，最高点15.6m，</w:t>
            </w:r>
            <w:r>
              <w:rPr>
                <w:rFonts w:hint="eastAsia" w:ascii="宋体" w:hAnsi="宋体"/>
                <w:sz w:val="28"/>
                <w:szCs w:val="28"/>
              </w:rPr>
              <w:t>绝对高程为11.45m，满足机场控制高度要求。</w:t>
            </w:r>
          </w:p>
          <w:p>
            <w:pPr>
              <w:snapToGrid w:val="0"/>
              <w:spacing w:line="360" w:lineRule="auto"/>
              <w:ind w:firstLine="560" w:firstLineChars="200"/>
              <w:rPr>
                <w:rFonts w:ascii="宋体" w:hAnsi="宋体"/>
                <w:sz w:val="28"/>
                <w:szCs w:val="28"/>
              </w:rPr>
            </w:pPr>
            <w:r>
              <w:rPr>
                <w:rFonts w:hint="eastAsia" w:ascii="宋体" w:hAnsi="宋体"/>
                <w:sz w:val="28"/>
                <w:szCs w:val="28"/>
              </w:rPr>
              <w:t>道路设置为环路，可达建筑所有出入口，均为单车道，路面宽度为4m，道路纵坡</w:t>
            </w:r>
            <w:r>
              <w:rPr>
                <w:rFonts w:hint="eastAsia" w:ascii="宋体" w:hAnsi="宋体"/>
                <w:sz w:val="28"/>
                <w:szCs w:val="28"/>
                <w:lang w:val="en-US" w:eastAsia="zh-CN"/>
              </w:rPr>
              <w:t>为0.3</w:t>
            </w:r>
            <w:r>
              <w:rPr>
                <w:rFonts w:hint="eastAsia" w:ascii="宋体" w:hAnsi="宋体"/>
                <w:sz w:val="28"/>
                <w:szCs w:val="28"/>
              </w:rPr>
              <w:t>%</w:t>
            </w:r>
            <w:r>
              <w:rPr>
                <w:rFonts w:hint="eastAsia" w:ascii="宋体" w:hAnsi="宋体"/>
                <w:sz w:val="28"/>
                <w:szCs w:val="28"/>
                <w:lang w:val="en-US" w:eastAsia="zh-CN"/>
              </w:rPr>
              <w:t>-1.23%之间</w:t>
            </w:r>
            <w:r>
              <w:rPr>
                <w:rFonts w:hint="eastAsia" w:ascii="宋体" w:hAnsi="宋体"/>
                <w:sz w:val="28"/>
                <w:szCs w:val="28"/>
              </w:rPr>
              <w:t>，横坡</w:t>
            </w:r>
            <w:r>
              <w:rPr>
                <w:rFonts w:hint="eastAsia" w:ascii="宋体" w:hAnsi="宋体"/>
                <w:sz w:val="28"/>
                <w:szCs w:val="28"/>
                <w:lang w:val="en-US" w:eastAsia="zh-CN"/>
              </w:rPr>
              <w:t>均</w:t>
            </w:r>
            <w:r>
              <w:rPr>
                <w:rFonts w:hint="eastAsia" w:ascii="宋体" w:hAnsi="宋体"/>
                <w:sz w:val="28"/>
                <w:szCs w:val="28"/>
              </w:rPr>
              <w:t>为</w:t>
            </w:r>
            <w:r>
              <w:rPr>
                <w:rFonts w:hint="eastAsia" w:ascii="宋体" w:hAnsi="宋体"/>
                <w:sz w:val="28"/>
                <w:szCs w:val="28"/>
                <w:lang w:val="en-US" w:eastAsia="zh-CN"/>
              </w:rPr>
              <w:t>1</w:t>
            </w:r>
            <w:r>
              <w:rPr>
                <w:rFonts w:hint="eastAsia" w:ascii="宋体" w:hAnsi="宋体"/>
                <w:sz w:val="28"/>
                <w:szCs w:val="28"/>
              </w:rPr>
              <w:t>.</w:t>
            </w:r>
            <w:r>
              <w:rPr>
                <w:rFonts w:hint="eastAsia" w:ascii="宋体" w:hAnsi="宋体"/>
                <w:sz w:val="28"/>
                <w:szCs w:val="28"/>
                <w:lang w:val="en-US" w:eastAsia="zh-CN"/>
              </w:rPr>
              <w:t>5</w:t>
            </w:r>
            <w:r>
              <w:rPr>
                <w:rFonts w:hint="eastAsia" w:ascii="宋体" w:hAnsi="宋体"/>
                <w:sz w:val="28"/>
                <w:szCs w:val="28"/>
              </w:rPr>
              <w:t>%。设置小汽车停车位</w:t>
            </w:r>
            <w:r>
              <w:rPr>
                <w:rFonts w:hint="eastAsia" w:ascii="宋体" w:hAnsi="宋体"/>
                <w:sz w:val="28"/>
                <w:szCs w:val="28"/>
                <w:lang w:val="en-US" w:eastAsia="zh-CN"/>
              </w:rPr>
              <w:t>6</w:t>
            </w:r>
            <w:r>
              <w:rPr>
                <w:rFonts w:hint="eastAsia" w:ascii="宋体" w:hAnsi="宋体"/>
                <w:sz w:val="28"/>
                <w:szCs w:val="28"/>
              </w:rPr>
              <w:t>个，大车位2个。道路设施满足使用及消防要求。</w:t>
            </w:r>
          </w:p>
          <w:p>
            <w:pPr>
              <w:numPr>
                <w:ilvl w:val="0"/>
                <w:numId w:val="1"/>
              </w:numPr>
              <w:snapToGrid w:val="0"/>
              <w:spacing w:line="360" w:lineRule="auto"/>
              <w:rPr>
                <w:rFonts w:ascii="宋体" w:hAnsi="宋体"/>
                <w:b/>
                <w:bCs/>
                <w:sz w:val="30"/>
                <w:szCs w:val="30"/>
              </w:rPr>
            </w:pPr>
            <w:r>
              <w:rPr>
                <w:rFonts w:hint="eastAsia" w:ascii="宋体" w:hAnsi="宋体"/>
                <w:b/>
                <w:bCs/>
                <w:sz w:val="30"/>
                <w:szCs w:val="30"/>
              </w:rPr>
              <w:t>竖向及土方设计</w:t>
            </w:r>
          </w:p>
          <w:p>
            <w:pPr>
              <w:snapToGrid w:val="0"/>
              <w:spacing w:line="360" w:lineRule="auto"/>
              <w:ind w:firstLine="560" w:firstLineChars="200"/>
              <w:rPr>
                <w:rFonts w:hint="eastAsia" w:ascii="宋体" w:hAnsi="宋体"/>
                <w:sz w:val="28"/>
                <w:szCs w:val="28"/>
              </w:rPr>
            </w:pPr>
            <w:r>
              <w:rPr>
                <w:rFonts w:hint="eastAsia" w:ascii="宋体" w:hAnsi="宋体"/>
                <w:sz w:val="28"/>
                <w:szCs w:val="28"/>
              </w:rPr>
              <w:t>小区内竖向高程设计输入条件为以现状地势设为基础计地面标高，以此作为小区地面高程设计基准。小区场地为平坡设计，高差控制在±0</w:t>
            </w:r>
            <w:r>
              <w:rPr>
                <w:rFonts w:ascii="宋体" w:hAnsi="宋体"/>
                <w:sz w:val="28"/>
                <w:szCs w:val="28"/>
              </w:rPr>
              <w:t>.5m</w:t>
            </w:r>
            <w:r>
              <w:rPr>
                <w:rFonts w:hint="eastAsia" w:ascii="宋体" w:hAnsi="宋体"/>
                <w:sz w:val="28"/>
                <w:szCs w:val="28"/>
              </w:rPr>
              <w:t>范围内，小区地面排水以有组织散排水设计为主。</w:t>
            </w:r>
          </w:p>
          <w:p>
            <w:pPr>
              <w:snapToGrid w:val="0"/>
              <w:spacing w:line="360" w:lineRule="auto"/>
              <w:ind w:firstLine="420" w:firstLineChars="200"/>
              <w:rPr>
                <w:rFonts w:hint="eastAsia" w:ascii="宋体" w:hAnsi="宋体"/>
                <w:sz w:val="28"/>
                <w:szCs w:val="28"/>
              </w:rPr>
            </w:pPr>
            <w:r>
              <w:drawing>
                <wp:inline distT="0" distB="0" distL="114300" distR="114300">
                  <wp:extent cx="6475095" cy="3642995"/>
                  <wp:effectExtent l="0" t="0" r="1905" b="14605"/>
                  <wp:docPr id="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1"/>
                          <pic:cNvPicPr>
                            <a:picLocks noChangeAspect="1"/>
                          </pic:cNvPicPr>
                        </pic:nvPicPr>
                        <pic:blipFill>
                          <a:blip r:embed="rId7"/>
                          <a:stretch>
                            <a:fillRect/>
                          </a:stretch>
                        </pic:blipFill>
                        <pic:spPr>
                          <a:xfrm>
                            <a:off x="0" y="0"/>
                            <a:ext cx="6475095" cy="3642995"/>
                          </a:xfrm>
                          <a:prstGeom prst="rect">
                            <a:avLst/>
                          </a:prstGeom>
                          <a:noFill/>
                          <a:ln>
                            <a:noFill/>
                          </a:ln>
                        </pic:spPr>
                      </pic:pic>
                    </a:graphicData>
                  </a:graphic>
                </wp:inline>
              </w:drawing>
            </w:r>
          </w:p>
          <w:p>
            <w:pPr>
              <w:snapToGrid w:val="0"/>
              <w:spacing w:line="360" w:lineRule="auto"/>
              <w:ind w:firstLine="560" w:firstLineChars="200"/>
              <w:rPr>
                <w:rFonts w:hint="eastAsia" w:ascii="宋体" w:hAnsi="宋体"/>
                <w:sz w:val="28"/>
                <w:szCs w:val="28"/>
              </w:rPr>
            </w:pPr>
            <w:r>
              <w:rPr>
                <w:rFonts w:hint="eastAsia" w:ascii="宋体" w:hAnsi="宋体"/>
                <w:sz w:val="28"/>
                <w:szCs w:val="28"/>
              </w:rPr>
              <w:t>土方压实度要求：0~0.8m压实度不小于92%，0.8m以下压实度不小于90%，。</w:t>
            </w:r>
          </w:p>
          <w:p>
            <w:pPr>
              <w:numPr>
                <w:ilvl w:val="0"/>
                <w:numId w:val="1"/>
              </w:numPr>
              <w:snapToGrid w:val="0"/>
              <w:spacing w:line="360" w:lineRule="auto"/>
              <w:rPr>
                <w:rFonts w:ascii="宋体" w:hAnsi="宋体"/>
                <w:b/>
                <w:bCs/>
                <w:sz w:val="30"/>
                <w:szCs w:val="30"/>
              </w:rPr>
            </w:pPr>
            <w:r>
              <w:rPr>
                <w:rFonts w:hint="eastAsia" w:ascii="宋体" w:hAnsi="宋体"/>
                <w:b/>
                <w:bCs/>
                <w:sz w:val="30"/>
                <w:szCs w:val="30"/>
              </w:rPr>
              <w:t>绿化布置</w:t>
            </w:r>
          </w:p>
          <w:p>
            <w:pPr>
              <w:snapToGrid w:val="0"/>
              <w:spacing w:line="360" w:lineRule="auto"/>
              <w:ind w:firstLine="560" w:firstLineChars="200"/>
              <w:rPr>
                <w:rFonts w:ascii="宋体" w:hAnsi="宋体"/>
                <w:sz w:val="28"/>
                <w:szCs w:val="28"/>
              </w:rPr>
            </w:pPr>
            <w:r>
              <w:rPr>
                <w:rFonts w:hint="eastAsia" w:ascii="宋体" w:hAnsi="宋体"/>
                <w:sz w:val="28"/>
                <w:szCs w:val="28"/>
              </w:rPr>
              <w:t>本工程绿化布置主要为裸露的土面区，植物以种植当地适宜的常绿草坪为主。</w:t>
            </w:r>
          </w:p>
          <w:p>
            <w:pPr>
              <w:numPr>
                <w:ilvl w:val="0"/>
                <w:numId w:val="1"/>
              </w:numPr>
              <w:snapToGrid w:val="0"/>
              <w:spacing w:line="360" w:lineRule="auto"/>
              <w:rPr>
                <w:rFonts w:ascii="宋体" w:hAnsi="宋体"/>
                <w:b/>
                <w:bCs/>
                <w:sz w:val="30"/>
                <w:szCs w:val="30"/>
              </w:rPr>
            </w:pPr>
            <w:r>
              <w:rPr>
                <w:rFonts w:hint="eastAsia" w:ascii="宋体" w:hAnsi="宋体"/>
                <w:b/>
                <w:bCs/>
                <w:sz w:val="30"/>
                <w:szCs w:val="30"/>
              </w:rPr>
              <w:t>管线综合</w:t>
            </w:r>
          </w:p>
          <w:p>
            <w:pPr>
              <w:spacing w:line="360" w:lineRule="auto"/>
              <w:ind w:firstLine="602" w:firstLineChars="200"/>
              <w:rPr>
                <w:rFonts w:ascii="宋体" w:hAnsi="宋体"/>
                <w:sz w:val="28"/>
                <w:szCs w:val="28"/>
              </w:rPr>
            </w:pPr>
            <w:r>
              <w:rPr>
                <w:rFonts w:hint="eastAsia" w:ascii="宋体" w:hAnsi="宋体"/>
                <w:b/>
                <w:bCs/>
                <w:sz w:val="30"/>
                <w:szCs w:val="30"/>
              </w:rPr>
              <w:t xml:space="preserve"> </w:t>
            </w:r>
            <w:r>
              <w:rPr>
                <w:rFonts w:hint="eastAsia" w:ascii="宋体" w:hAnsi="宋体"/>
                <w:sz w:val="28"/>
                <w:szCs w:val="28"/>
              </w:rPr>
              <w:t>本工程室外管线包括：给水管、污水管、</w:t>
            </w:r>
            <w:r>
              <w:rPr>
                <w:rFonts w:hint="eastAsia" w:ascii="宋体" w:hAnsi="宋体"/>
                <w:sz w:val="28"/>
                <w:szCs w:val="28"/>
                <w:lang w:val="en-US" w:eastAsia="zh-CN"/>
              </w:rPr>
              <w:t>消防管线、通信管线</w:t>
            </w:r>
            <w:r>
              <w:rPr>
                <w:rFonts w:hint="eastAsia" w:ascii="宋体" w:hAnsi="宋体"/>
                <w:sz w:val="28"/>
                <w:szCs w:val="28"/>
              </w:rPr>
              <w:t>、电力</w:t>
            </w:r>
            <w:r>
              <w:rPr>
                <w:rFonts w:hint="eastAsia" w:ascii="宋体" w:hAnsi="宋体"/>
                <w:sz w:val="28"/>
                <w:szCs w:val="28"/>
                <w:lang w:val="en-US" w:eastAsia="zh-CN"/>
              </w:rPr>
              <w:t>管线</w:t>
            </w:r>
            <w:r>
              <w:rPr>
                <w:rFonts w:hint="eastAsia" w:ascii="宋体" w:hAnsi="宋体"/>
                <w:sz w:val="28"/>
                <w:szCs w:val="28"/>
              </w:rPr>
              <w:t>等。根据各专业提供的管线路由合理安排平面位置，减少管线之间的交叉，管线交叉部分满足各管线垂直净距。上述管线在管线综合时，满足《城市工程管线综合规划规范》（GB 50289-2016）要求。</w:t>
            </w:r>
          </w:p>
          <w:p>
            <w:pPr>
              <w:spacing w:line="360" w:lineRule="auto"/>
              <w:ind w:left="280" w:firstLine="560" w:firstLineChars="200"/>
              <w:rPr>
                <w:rFonts w:ascii="宋体" w:hAnsi="宋体" w:eastAsia="宋体"/>
                <w:sz w:val="28"/>
                <w:szCs w:val="28"/>
              </w:rPr>
            </w:pPr>
            <w:r>
              <w:rPr>
                <w:rFonts w:hint="eastAsia" w:ascii="宋体" w:hAnsi="宋体" w:eastAsia="宋体"/>
                <w:sz w:val="28"/>
                <w:szCs w:val="28"/>
              </w:rPr>
              <w:t>①压力管线让重力自流管线；</w:t>
            </w:r>
          </w:p>
          <w:p>
            <w:pPr>
              <w:spacing w:line="360" w:lineRule="auto"/>
              <w:ind w:left="280" w:firstLine="560" w:firstLineChars="200"/>
              <w:rPr>
                <w:rFonts w:ascii="宋体" w:hAnsi="宋体" w:eastAsia="宋体"/>
                <w:sz w:val="28"/>
                <w:szCs w:val="28"/>
              </w:rPr>
            </w:pPr>
            <w:r>
              <w:rPr>
                <w:rFonts w:hint="eastAsia" w:ascii="宋体" w:hAnsi="宋体" w:eastAsia="宋体"/>
                <w:sz w:val="28"/>
                <w:szCs w:val="28"/>
              </w:rPr>
              <w:t>②可弯曲管线让不易弯曲管线；</w:t>
            </w:r>
          </w:p>
          <w:p>
            <w:pPr>
              <w:spacing w:line="360" w:lineRule="auto"/>
              <w:ind w:left="280" w:firstLine="560" w:firstLineChars="200"/>
              <w:rPr>
                <w:rFonts w:ascii="宋体" w:hAnsi="宋体" w:eastAsia="宋体"/>
                <w:sz w:val="28"/>
                <w:szCs w:val="28"/>
              </w:rPr>
            </w:pPr>
            <w:r>
              <w:rPr>
                <w:rFonts w:hint="eastAsia" w:ascii="宋体" w:hAnsi="宋体" w:eastAsia="宋体"/>
                <w:sz w:val="28"/>
                <w:szCs w:val="28"/>
              </w:rPr>
              <w:t>③分支管线让主干管线；</w:t>
            </w:r>
          </w:p>
          <w:p>
            <w:pPr>
              <w:spacing w:line="360" w:lineRule="auto"/>
              <w:ind w:left="280" w:firstLine="560" w:firstLineChars="200"/>
              <w:rPr>
                <w:rFonts w:ascii="宋体" w:hAnsi="宋体"/>
                <w:b/>
                <w:bCs/>
                <w:sz w:val="30"/>
                <w:szCs w:val="30"/>
              </w:rPr>
            </w:pPr>
            <w:r>
              <w:rPr>
                <w:rFonts w:hint="eastAsia" w:ascii="宋体" w:hAnsi="宋体" w:eastAsia="宋体"/>
                <w:sz w:val="28"/>
                <w:szCs w:val="28"/>
              </w:rPr>
              <w:t>④小管径管线让大管径管线的原则。</w:t>
            </w:r>
          </w:p>
          <w:p>
            <w:pPr>
              <w:numPr>
                <w:ilvl w:val="0"/>
                <w:numId w:val="1"/>
              </w:numPr>
              <w:snapToGrid w:val="0"/>
              <w:spacing w:line="360" w:lineRule="auto"/>
              <w:rPr>
                <w:rFonts w:ascii="宋体" w:hAnsi="宋体"/>
                <w:b/>
                <w:bCs/>
                <w:sz w:val="30"/>
                <w:szCs w:val="30"/>
              </w:rPr>
            </w:pPr>
            <w:r>
              <w:rPr>
                <w:rFonts w:hint="eastAsia" w:ascii="宋体" w:hAnsi="宋体"/>
                <w:b/>
                <w:bCs/>
                <w:sz w:val="30"/>
                <w:szCs w:val="30"/>
              </w:rPr>
              <w:t>一般说明</w:t>
            </w:r>
          </w:p>
          <w:p>
            <w:pPr>
              <w:snapToGrid w:val="0"/>
              <w:spacing w:line="360" w:lineRule="auto"/>
              <w:ind w:firstLine="560" w:firstLineChars="200"/>
              <w:rPr>
                <w:rFonts w:ascii="宋体" w:hAnsi="宋体"/>
                <w:sz w:val="28"/>
                <w:szCs w:val="28"/>
              </w:rPr>
            </w:pPr>
            <w:r>
              <w:rPr>
                <w:rFonts w:hint="eastAsia" w:ascii="宋体" w:hAnsi="宋体"/>
                <w:sz w:val="28"/>
                <w:szCs w:val="28"/>
              </w:rPr>
              <w:t>本工程采用机场独立坐标系，即A、B坐标；其中，A轴垂直跑道方向，由东向西递增，B轴平行跑道方向，由南向北递增。</w:t>
            </w:r>
          </w:p>
          <w:p>
            <w:pPr>
              <w:snapToGrid w:val="0"/>
              <w:spacing w:line="360" w:lineRule="auto"/>
              <w:ind w:firstLine="560" w:firstLineChars="200"/>
              <w:rPr>
                <w:rFonts w:ascii="宋体" w:hAnsi="宋体"/>
                <w:sz w:val="28"/>
                <w:szCs w:val="28"/>
              </w:rPr>
            </w:pPr>
            <w:r>
              <w:rPr>
                <w:rFonts w:hint="eastAsia" w:ascii="宋体" w:hAnsi="宋体"/>
                <w:sz w:val="28"/>
                <w:szCs w:val="28"/>
              </w:rPr>
              <w:t>本工程采用的高程系为国家85高程基准。</w:t>
            </w:r>
          </w:p>
          <w:p>
            <w:pPr>
              <w:snapToGrid w:val="0"/>
              <w:spacing w:line="360" w:lineRule="auto"/>
              <w:rPr>
                <w:rFonts w:ascii="宋体" w:hAnsi="宋体"/>
                <w:sz w:val="28"/>
                <w:szCs w:val="28"/>
              </w:rPr>
            </w:pPr>
          </w:p>
          <w:p>
            <w:pPr>
              <w:snapToGrid w:val="0"/>
              <w:spacing w:line="360" w:lineRule="auto"/>
              <w:ind w:firstLine="560" w:firstLineChars="200"/>
              <w:rPr>
                <w:rFonts w:ascii="宋体" w:hAnsi="宋体"/>
                <w:sz w:val="28"/>
                <w:szCs w:val="28"/>
              </w:rPr>
            </w:pPr>
          </w:p>
          <w:p>
            <w:pPr>
              <w:snapToGrid w:val="0"/>
              <w:spacing w:line="360" w:lineRule="auto"/>
              <w:rPr>
                <w:rFonts w:ascii="宋体" w:hAnsi="宋体"/>
                <w:sz w:val="28"/>
                <w:szCs w:val="28"/>
              </w:rPr>
            </w:pPr>
          </w:p>
          <w:p>
            <w:pPr>
              <w:snapToGrid w:val="0"/>
              <w:spacing w:line="360" w:lineRule="auto"/>
              <w:rPr>
                <w:rFonts w:ascii="宋体" w:hAnsi="宋体"/>
                <w:sz w:val="28"/>
                <w:szCs w:val="28"/>
              </w:rPr>
            </w:pPr>
          </w:p>
          <w:p>
            <w:pPr>
              <w:snapToGrid w:val="0"/>
              <w:spacing w:line="360" w:lineRule="auto"/>
              <w:rPr>
                <w:rFonts w:ascii="宋体" w:hAnsi="宋体"/>
                <w:sz w:val="28"/>
                <w:szCs w:val="28"/>
              </w:rPr>
            </w:pPr>
          </w:p>
          <w:p>
            <w:pPr>
              <w:snapToGrid w:val="0"/>
              <w:spacing w:line="360" w:lineRule="auto"/>
              <w:rPr>
                <w:rFonts w:ascii="宋体" w:hAnsi="宋体"/>
                <w:sz w:val="28"/>
                <w:szCs w:val="28"/>
              </w:rPr>
            </w:pPr>
          </w:p>
          <w:p>
            <w:pPr>
              <w:snapToGrid w:val="0"/>
              <w:spacing w:line="360" w:lineRule="auto"/>
              <w:rPr>
                <w:rFonts w:ascii="宋体" w:hAnsi="宋体"/>
                <w:sz w:val="28"/>
                <w:szCs w:val="28"/>
              </w:rPr>
            </w:pPr>
            <w:bookmarkStart w:id="6" w:name="_GoBack"/>
            <w:bookmarkEnd w:id="6"/>
          </w:p>
          <w:p>
            <w:pPr>
              <w:snapToGrid w:val="0"/>
              <w:spacing w:line="360" w:lineRule="auto"/>
              <w:rPr>
                <w:rFonts w:ascii="宋体" w:hAnsi="宋体"/>
                <w:sz w:val="28"/>
                <w:szCs w:val="28"/>
              </w:rPr>
            </w:pPr>
          </w:p>
          <w:p>
            <w:pPr>
              <w:snapToGrid w:val="0"/>
              <w:spacing w:line="360" w:lineRule="auto"/>
              <w:rPr>
                <w:rFonts w:ascii="宋体" w:hAnsi="宋体"/>
                <w:sz w:val="28"/>
                <w:szCs w:val="28"/>
              </w:rPr>
            </w:pPr>
          </w:p>
        </w:tc>
      </w:tr>
    </w:tbl>
    <w:p>
      <w:pPr>
        <w:tabs>
          <w:tab w:val="left" w:pos="3767"/>
        </w:tabs>
        <w:ind w:right="-710" w:rightChars="-338"/>
        <w:rPr>
          <w:rFonts w:ascii="宋体" w:hAnsi="宋体"/>
          <w:sz w:val="24"/>
          <w:szCs w:val="24"/>
        </w:rPr>
      </w:pPr>
    </w:p>
    <w:sectPr>
      <w:headerReference r:id="rId3" w:type="default"/>
      <w:footerReference r:id="rId4" w:type="default"/>
      <w:footerReference r:id="rId5" w:type="even"/>
      <w:pgSz w:w="11906" w:h="16838"/>
      <w:pgMar w:top="1418" w:right="851" w:bottom="1418" w:left="851" w:header="851" w:footer="851" w:gutter="0"/>
      <w:cols w:space="720" w:num="1"/>
      <w:docGrid w:linePitch="28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rPr>
        <w:rFonts w:ascii="宋体" w:hAnsi="宋体"/>
        <w:sz w:val="24"/>
        <w:szCs w:val="24"/>
      </w:rPr>
      <mc:AlternateContent>
        <mc:Choice Requires="wps">
          <w:drawing>
            <wp:anchor distT="0" distB="0" distL="114300" distR="114300" simplePos="0" relativeHeight="251661312" behindDoc="0" locked="0" layoutInCell="1" allowOverlap="1">
              <wp:simplePos x="0" y="0"/>
              <wp:positionH relativeFrom="page">
                <wp:posOffset>4691380</wp:posOffset>
              </wp:positionH>
              <wp:positionV relativeFrom="page">
                <wp:posOffset>9591040</wp:posOffset>
              </wp:positionV>
              <wp:extent cx="858520" cy="287020"/>
              <wp:effectExtent l="0" t="0" r="3175" b="0"/>
              <wp:wrapNone/>
              <wp:docPr id="3" name="Text Box 4"/>
              <wp:cNvGraphicFramePr/>
              <a:graphic xmlns:a="http://schemas.openxmlformats.org/drawingml/2006/main">
                <a:graphicData uri="http://schemas.microsoft.com/office/word/2010/wordprocessingShape">
                  <wps:wsp>
                    <wps:cNvSpPr txBox="1">
                      <a:spLocks noChangeArrowheads="1"/>
                    </wps:cNvSpPr>
                    <wps:spPr bwMode="auto">
                      <a:xfrm>
                        <a:off x="0" y="0"/>
                        <a:ext cx="858520" cy="287020"/>
                      </a:xfrm>
                      <a:prstGeom prst="rect">
                        <a:avLst/>
                      </a:prstGeom>
                      <a:noFill/>
                      <a:ln>
                        <a:noFill/>
                      </a:ln>
                    </wps:spPr>
                    <wps:txbx>
                      <w:txbxContent>
                        <w:p>
                          <w:bookmarkStart w:id="3" w:name="LZOF_N审核人_T3_L1"/>
                          <w:bookmarkEnd w:id="3"/>
                        </w:p>
                      </w:txbxContent>
                    </wps:txbx>
                    <wps:bodyPr rot="0" vert="horz" wrap="square" lIns="91440" tIns="45720" rIns="91440" bIns="45720" anchor="t" anchorCtr="0" upright="1">
                      <a:noAutofit/>
                    </wps:bodyPr>
                  </wps:wsp>
                </a:graphicData>
              </a:graphic>
            </wp:anchor>
          </w:drawing>
        </mc:Choice>
        <mc:Fallback>
          <w:pict>
            <v:shape id="Text Box 4" o:spid="_x0000_s1026" o:spt="202" type="#_x0000_t202" style="position:absolute;left:0pt;margin-left:369.4pt;margin-top:755.2pt;height:22.6pt;width:67.6pt;mso-position-horizontal-relative:page;mso-position-vertical-relative:page;z-index:251661312;mso-width-relative:page;mso-height-relative:page;" filled="f" stroked="f" coordsize="21600,21600" o:gfxdata="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N/g1L/ZAAAADQEAAA8AAAAAAAAAAQAgAAAAIgAAAGRy&#10;cy9kb3ducmV2LnhtbFBLAQIUABQAAAAIAIdO4kDJT8SsBAIAABMEAAAOAAAAAAAAAAEAIAAAACgB&#10;AABkcnMvZTJvRG9jLnhtbFBLBQYAAAAABgAGAFkBAACeBQAAAAA=&#10;">
              <v:fill on="f" focussize="0,0"/>
              <v:stroke on="f"/>
              <v:imagedata o:title=""/>
              <o:lock v:ext="edit" aspectratio="f"/>
              <v:textbox>
                <w:txbxContent>
                  <w:p>
                    <w:bookmarkStart w:id="3" w:name="LZOF_N审核人_T3_L1"/>
                    <w:bookmarkEnd w:id="3"/>
                  </w:p>
                </w:txbxContent>
              </v:textbox>
            </v:shape>
          </w:pict>
        </mc:Fallback>
      </mc:AlternateContent>
    </w:r>
    <w:r>
      <w:rPr>
        <w:rFonts w:ascii="宋体" w:hAnsi="宋体"/>
        <w:sz w:val="24"/>
        <w:szCs w:val="24"/>
      </w:rPr>
      <mc:AlternateContent>
        <mc:Choice Requires="wps">
          <w:drawing>
            <wp:anchor distT="0" distB="0" distL="114300" distR="114300" simplePos="0" relativeHeight="251660288" behindDoc="0" locked="0" layoutInCell="1" allowOverlap="1">
              <wp:simplePos x="0" y="0"/>
              <wp:positionH relativeFrom="page">
                <wp:posOffset>2847975</wp:posOffset>
              </wp:positionH>
              <wp:positionV relativeFrom="page">
                <wp:posOffset>9581515</wp:posOffset>
              </wp:positionV>
              <wp:extent cx="858520" cy="287020"/>
              <wp:effectExtent l="0" t="0" r="0" b="0"/>
              <wp:wrapNone/>
              <wp:docPr id="2" name="Text Box 3"/>
              <wp:cNvGraphicFramePr/>
              <a:graphic xmlns:a="http://schemas.openxmlformats.org/drawingml/2006/main">
                <a:graphicData uri="http://schemas.microsoft.com/office/word/2010/wordprocessingShape">
                  <wps:wsp>
                    <wps:cNvSpPr txBox="1">
                      <a:spLocks noChangeArrowheads="1"/>
                    </wps:cNvSpPr>
                    <wps:spPr bwMode="auto">
                      <a:xfrm>
                        <a:off x="0" y="0"/>
                        <a:ext cx="858520" cy="287020"/>
                      </a:xfrm>
                      <a:prstGeom prst="rect">
                        <a:avLst/>
                      </a:prstGeom>
                      <a:noFill/>
                      <a:ln>
                        <a:noFill/>
                      </a:ln>
                    </wps:spPr>
                    <wps:txbx>
                      <w:txbxContent>
                        <w:p>
                          <w:bookmarkStart w:id="4" w:name="LZOF_N校核人_T3_L1"/>
                          <w:bookmarkEnd w:id="4"/>
                        </w:p>
                      </w:txbxContent>
                    </wps:txbx>
                    <wps:bodyPr rot="0" vert="horz" wrap="square" lIns="91440" tIns="45720" rIns="91440" bIns="45720" anchor="t" anchorCtr="0" upright="1">
                      <a:noAutofit/>
                    </wps:bodyPr>
                  </wps:wsp>
                </a:graphicData>
              </a:graphic>
            </wp:anchor>
          </w:drawing>
        </mc:Choice>
        <mc:Fallback>
          <w:pict>
            <v:shape id="Text Box 3" o:spid="_x0000_s1026" o:spt="202" type="#_x0000_t202" style="position:absolute;left:0pt;margin-left:224.25pt;margin-top:754.45pt;height:22.6pt;width:67.6pt;mso-position-horizontal-relative:page;mso-position-vertical-relative:page;z-index:251660288;mso-width-relative:page;mso-height-relative:page;" filled="f" stroked="f" coordsize="21600,21600" o:gfxdata="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&#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Y1QMbtgAAAANAQAADwAAAAAAAAABACAAAAAiAAAAZHJz&#10;L2Rvd25yZXYueG1sUEsBAhQAFAAAAAgAh07iQF1g1fMEAgAAEwQAAA4AAAAAAAAAAQAgAAAAJwEA&#10;AGRycy9lMm9Eb2MueG1sUEsFBgAAAAAGAAYAWQEAAJ0FAAAAAA==&#10;">
              <v:fill on="f" focussize="0,0"/>
              <v:stroke on="f"/>
              <v:imagedata o:title=""/>
              <o:lock v:ext="edit" aspectratio="f"/>
              <v:textbox>
                <w:txbxContent>
                  <w:p>
                    <w:bookmarkStart w:id="4" w:name="LZOF_N校核人_T3_L1"/>
                    <w:bookmarkEnd w:id="4"/>
                  </w:p>
                </w:txbxContent>
              </v:textbox>
            </v:shape>
          </w:pict>
        </mc:Fallback>
      </mc:AlternateContent>
    </w:r>
    <w:r>
      <w:rPr>
        <w:rFonts w:ascii="宋体" w:hAnsi="宋体"/>
        <w:sz w:val="24"/>
        <w:szCs w:val="24"/>
      </w:rPr>
      <mc:AlternateContent>
        <mc:Choice Requires="wps">
          <w:drawing>
            <wp:anchor distT="0" distB="0" distL="114300" distR="114300" simplePos="0" relativeHeight="251659264" behindDoc="0" locked="0" layoutInCell="1" allowOverlap="1">
              <wp:simplePos x="0" y="0"/>
              <wp:positionH relativeFrom="page">
                <wp:posOffset>1151890</wp:posOffset>
              </wp:positionH>
              <wp:positionV relativeFrom="page">
                <wp:posOffset>9598025</wp:posOffset>
              </wp:positionV>
              <wp:extent cx="858520" cy="287020"/>
              <wp:effectExtent l="0" t="0" r="0" b="1905"/>
              <wp:wrapNone/>
              <wp:docPr id="1" name="Text Box 2"/>
              <wp:cNvGraphicFramePr/>
              <a:graphic xmlns:a="http://schemas.openxmlformats.org/drawingml/2006/main">
                <a:graphicData uri="http://schemas.microsoft.com/office/word/2010/wordprocessingShape">
                  <wps:wsp>
                    <wps:cNvSpPr txBox="1">
                      <a:spLocks noChangeArrowheads="1"/>
                    </wps:cNvSpPr>
                    <wps:spPr bwMode="auto">
                      <a:xfrm>
                        <a:off x="0" y="0"/>
                        <a:ext cx="858520" cy="287020"/>
                      </a:xfrm>
                      <a:prstGeom prst="rect">
                        <a:avLst/>
                      </a:prstGeom>
                      <a:noFill/>
                      <a:ln>
                        <a:noFill/>
                      </a:ln>
                    </wps:spPr>
                    <wps:txbx>
                      <w:txbxContent>
                        <w:p>
                          <w:bookmarkStart w:id="5" w:name="LZOF_N设计人_T3_L1"/>
                          <w:bookmarkEnd w:id="5"/>
                        </w:p>
                      </w:txbxContent>
                    </wps:txbx>
                    <wps:bodyPr rot="0" vert="horz" wrap="square" lIns="91440" tIns="45720" rIns="91440" bIns="45720" anchor="t" anchorCtr="0" upright="1">
                      <a:noAutofit/>
                    </wps:bodyPr>
                  </wps:wsp>
                </a:graphicData>
              </a:graphic>
            </wp:anchor>
          </w:drawing>
        </mc:Choice>
        <mc:Fallback>
          <w:pict>
            <v:shape id="Text Box 2" o:spid="_x0000_s1026" o:spt="202" type="#_x0000_t202" style="position:absolute;left:0pt;margin-left:90.7pt;margin-top:755.75pt;height:22.6pt;width:67.6pt;mso-position-horizontal-relative:page;mso-position-vertical-relative:page;z-index:251659264;mso-width-relative:page;mso-height-relative:page;" filled="f" stroked="f" coordsize="21600,21600" o:gfxdata="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">
              <v:fill on="f" focussize="0,0"/>
              <v:stroke on="f"/>
              <v:imagedata o:title=""/>
              <o:lock v:ext="edit" aspectratio="f"/>
              <v:textbox>
                <w:txbxContent>
                  <w:p>
                    <w:bookmarkStart w:id="5" w:name="LZOF_N设计人_T3_L1"/>
                    <w:bookmarkEnd w:id="5"/>
                  </w:p>
                </w:txbxContent>
              </v:textbox>
            </v:shape>
          </w:pict>
        </mc:Fallback>
      </mc:AlternateContent>
    </w:r>
    <w:r>
      <w:rPr>
        <w:rFonts w:hint="eastAsia" w:ascii="宋体" w:hAnsi="宋体"/>
        <w:sz w:val="24"/>
        <w:szCs w:val="24"/>
      </w:rPr>
      <w:t xml:space="preserve">编制人：               校核人：                审核人：                </w:t>
    </w:r>
    <w:sdt>
      <w:sdtPr>
        <w:id w:val="250395305"/>
        <w:docPartObj>
          <w:docPartGallery w:val="autotext"/>
        </w:docPartObj>
      </w:sdtPr>
      <w:sdtContent>
        <w:r>
          <w:rPr>
            <w:rFonts w:hint="eastAsia"/>
          </w:rPr>
          <w:t>第</w:t>
        </w:r>
        <w:r>
          <w:rPr>
            <w:lang w:val="zh-CN"/>
          </w:rPr>
          <w:t xml:space="preserve"> </w:t>
        </w:r>
        <w:r>
          <w:fldChar w:fldCharType="begin"/>
        </w:r>
        <w:r>
          <w:instrText xml:space="preserve"> PAGE </w:instrText>
        </w:r>
        <w:r>
          <w:fldChar w:fldCharType="separate"/>
        </w:r>
        <w:r>
          <w:t>1</w:t>
        </w:r>
        <w:r>
          <w:fldChar w:fldCharType="end"/>
        </w:r>
        <w:r>
          <w:rPr>
            <w:rFonts w:hint="eastAsia"/>
          </w:rPr>
          <w:t>页</w:t>
        </w:r>
        <w:r>
          <w:rPr>
            <w:lang w:val="zh-CN"/>
          </w:rPr>
          <w:t xml:space="preserve"> /</w:t>
        </w:r>
        <w:r>
          <w:rPr>
            <w:rFonts w:hint="eastAsia"/>
            <w:lang w:val="zh-CN"/>
          </w:rPr>
          <w:t>共</w:t>
        </w:r>
        <w:r>
          <w:rPr>
            <w:lang w:val="zh-CN"/>
          </w:rPr>
          <w:t xml:space="preserve"> </w:t>
        </w:r>
        <w:r>
          <w:fldChar w:fldCharType="begin"/>
        </w:r>
        <w:r>
          <w:instrText xml:space="preserve"> NUMPAGES  </w:instrText>
        </w:r>
        <w:r>
          <w:fldChar w:fldCharType="separate"/>
        </w:r>
        <w:r>
          <w:t>5</w:t>
        </w:r>
        <w:r>
          <w:fldChar w:fldCharType="end"/>
        </w:r>
        <w:r>
          <w:rPr>
            <w:rFonts w:hint="eastAsia"/>
          </w:rPr>
          <w:t>页</w:t>
        </w:r>
      </w:sdtContent>
    </w:sdt>
  </w:p>
  <w:p>
    <w:pPr>
      <w:tabs>
        <w:tab w:val="left" w:pos="3767"/>
      </w:tabs>
      <w:ind w:left="92" w:leftChars="-305" w:right="-710" w:rightChars="-338" w:hanging="732" w:hangingChars="305"/>
      <w:rPr>
        <w:rFonts w:ascii="宋体" w:hAnsi="宋体"/>
        <w:sz w:val="24"/>
        <w:szCs w:val="24"/>
      </w:rPr>
    </w:pPr>
  </w:p>
  <w:p>
    <w:pPr>
      <w:pStyle w:val="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framePr w:wrap="around" w:vAnchor="text" w:hAnchor="margin" w:xAlign="right" w:y="1"/>
      <w:rPr>
        <w:rStyle w:val="9"/>
      </w:rPr>
    </w:pPr>
    <w:r>
      <w:rPr>
        <w:rStyle w:val="9"/>
      </w:rPr>
      <w:fldChar w:fldCharType="begin"/>
    </w:r>
    <w:r>
      <w:rPr>
        <w:rStyle w:val="9"/>
      </w:rPr>
      <w:instrText xml:space="preserve">PAGE  </w:instrText>
    </w:r>
    <w:r>
      <w:rPr>
        <w:rStyle w:val="9"/>
      </w:rPr>
      <w:fldChar w:fldCharType="end"/>
    </w:r>
  </w:p>
  <w:p>
    <w:pPr>
      <w:pStyle w:val="5"/>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0"/>
      </w:pBdr>
      <w:ind w:left="-1" w:leftChars="-337" w:hanging="707" w:hangingChars="221"/>
      <w:jc w:val="both"/>
      <w:rPr>
        <w:rFonts w:ascii="黑体" w:hAnsi="黑体" w:eastAsia="黑体"/>
        <w:sz w:val="32"/>
        <w:szCs w:val="3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7025CBC"/>
    <w:multiLevelType w:val="multilevel"/>
    <w:tmpl w:val="17025CBC"/>
    <w:lvl w:ilvl="0" w:tentative="0">
      <w:start w:val="1"/>
      <w:numFmt w:val="decimal"/>
      <w:lvlText w:val="%1)"/>
      <w:lvlJc w:val="left"/>
      <w:pPr>
        <w:ind w:left="980" w:hanging="420"/>
      </w:pPr>
    </w:lvl>
    <w:lvl w:ilvl="1" w:tentative="0">
      <w:start w:val="1"/>
      <w:numFmt w:val="lowerLetter"/>
      <w:lvlText w:val="%2)"/>
      <w:lvlJc w:val="left"/>
      <w:pPr>
        <w:ind w:left="1400" w:hanging="420"/>
      </w:pPr>
    </w:lvl>
    <w:lvl w:ilvl="2" w:tentative="0">
      <w:start w:val="1"/>
      <w:numFmt w:val="lowerRoman"/>
      <w:lvlText w:val="%3."/>
      <w:lvlJc w:val="right"/>
      <w:pPr>
        <w:ind w:left="1820" w:hanging="420"/>
      </w:pPr>
    </w:lvl>
    <w:lvl w:ilvl="3" w:tentative="0">
      <w:start w:val="1"/>
      <w:numFmt w:val="decimal"/>
      <w:lvlText w:val="%4."/>
      <w:lvlJc w:val="left"/>
      <w:pPr>
        <w:ind w:left="2240" w:hanging="420"/>
      </w:pPr>
    </w:lvl>
    <w:lvl w:ilvl="4" w:tentative="0">
      <w:start w:val="1"/>
      <w:numFmt w:val="lowerLetter"/>
      <w:lvlText w:val="%5)"/>
      <w:lvlJc w:val="left"/>
      <w:pPr>
        <w:ind w:left="2660" w:hanging="420"/>
      </w:pPr>
    </w:lvl>
    <w:lvl w:ilvl="5" w:tentative="0">
      <w:start w:val="1"/>
      <w:numFmt w:val="lowerRoman"/>
      <w:lvlText w:val="%6."/>
      <w:lvlJc w:val="right"/>
      <w:pPr>
        <w:ind w:left="3080" w:hanging="420"/>
      </w:pPr>
    </w:lvl>
    <w:lvl w:ilvl="6" w:tentative="0">
      <w:start w:val="1"/>
      <w:numFmt w:val="decimal"/>
      <w:lvlText w:val="%7."/>
      <w:lvlJc w:val="left"/>
      <w:pPr>
        <w:ind w:left="3500" w:hanging="420"/>
      </w:pPr>
    </w:lvl>
    <w:lvl w:ilvl="7" w:tentative="0">
      <w:start w:val="1"/>
      <w:numFmt w:val="lowerLetter"/>
      <w:lvlText w:val="%8)"/>
      <w:lvlJc w:val="left"/>
      <w:pPr>
        <w:ind w:left="3920" w:hanging="420"/>
      </w:pPr>
    </w:lvl>
    <w:lvl w:ilvl="8" w:tentative="0">
      <w:start w:val="1"/>
      <w:numFmt w:val="lowerRoman"/>
      <w:lvlText w:val="%9."/>
      <w:lvlJc w:val="right"/>
      <w:pPr>
        <w:ind w:left="4340" w:hanging="420"/>
      </w:pPr>
    </w:lvl>
  </w:abstractNum>
  <w:abstractNum w:abstractNumId="1">
    <w:nsid w:val="4AFD0F61"/>
    <w:multiLevelType w:val="multilevel"/>
    <w:tmpl w:val="4AFD0F61"/>
    <w:lvl w:ilvl="0" w:tentative="0">
      <w:start w:val="1"/>
      <w:numFmt w:val="decimal"/>
      <w:lvlText w:val="%1)"/>
      <w:lvlJc w:val="left"/>
      <w:pPr>
        <w:ind w:left="980" w:hanging="420"/>
      </w:pPr>
    </w:lvl>
    <w:lvl w:ilvl="1" w:tentative="0">
      <w:start w:val="1"/>
      <w:numFmt w:val="lowerLetter"/>
      <w:lvlText w:val="%2)"/>
      <w:lvlJc w:val="left"/>
      <w:pPr>
        <w:ind w:left="1400" w:hanging="420"/>
      </w:pPr>
    </w:lvl>
    <w:lvl w:ilvl="2" w:tentative="0">
      <w:start w:val="1"/>
      <w:numFmt w:val="lowerRoman"/>
      <w:lvlText w:val="%3."/>
      <w:lvlJc w:val="right"/>
      <w:pPr>
        <w:ind w:left="1820" w:hanging="420"/>
      </w:pPr>
    </w:lvl>
    <w:lvl w:ilvl="3" w:tentative="0">
      <w:start w:val="1"/>
      <w:numFmt w:val="decimal"/>
      <w:lvlText w:val="%4."/>
      <w:lvlJc w:val="left"/>
      <w:pPr>
        <w:ind w:left="2240" w:hanging="420"/>
      </w:pPr>
    </w:lvl>
    <w:lvl w:ilvl="4" w:tentative="0">
      <w:start w:val="1"/>
      <w:numFmt w:val="lowerLetter"/>
      <w:lvlText w:val="%5)"/>
      <w:lvlJc w:val="left"/>
      <w:pPr>
        <w:ind w:left="2660" w:hanging="420"/>
      </w:pPr>
    </w:lvl>
    <w:lvl w:ilvl="5" w:tentative="0">
      <w:start w:val="1"/>
      <w:numFmt w:val="lowerRoman"/>
      <w:lvlText w:val="%6."/>
      <w:lvlJc w:val="right"/>
      <w:pPr>
        <w:ind w:left="3080" w:hanging="420"/>
      </w:pPr>
    </w:lvl>
    <w:lvl w:ilvl="6" w:tentative="0">
      <w:start w:val="1"/>
      <w:numFmt w:val="decimal"/>
      <w:lvlText w:val="%7."/>
      <w:lvlJc w:val="left"/>
      <w:pPr>
        <w:ind w:left="3500" w:hanging="420"/>
      </w:pPr>
    </w:lvl>
    <w:lvl w:ilvl="7" w:tentative="0">
      <w:start w:val="1"/>
      <w:numFmt w:val="lowerLetter"/>
      <w:lvlText w:val="%8)"/>
      <w:lvlJc w:val="left"/>
      <w:pPr>
        <w:ind w:left="3920" w:hanging="420"/>
      </w:pPr>
    </w:lvl>
    <w:lvl w:ilvl="8" w:tentative="0">
      <w:start w:val="1"/>
      <w:numFmt w:val="lowerRoman"/>
      <w:lvlText w:val="%9."/>
      <w:lvlJc w:val="right"/>
      <w:pPr>
        <w:ind w:left="4340" w:hanging="420"/>
      </w:pPr>
    </w:lvl>
  </w:abstractNum>
  <w:abstractNum w:abstractNumId="2">
    <w:nsid w:val="6F2F3ED6"/>
    <w:multiLevelType w:val="multilevel"/>
    <w:tmpl w:val="6F2F3ED6"/>
    <w:lvl w:ilvl="0" w:tentative="0">
      <w:start w:val="1"/>
      <w:numFmt w:val="decimal"/>
      <w:lvlText w:val="%1"/>
      <w:lvlJc w:val="left"/>
      <w:pPr>
        <w:tabs>
          <w:tab w:val="left" w:pos="360"/>
        </w:tabs>
        <w:ind w:left="360" w:hanging="360"/>
      </w:pPr>
      <w:rPr>
        <w:rFonts w:hint="default" w:ascii="Times New Roman" w:hAnsi="Times New Roman" w:eastAsia="宋体" w:cs="Times New Roman"/>
      </w:rPr>
    </w:lvl>
    <w:lvl w:ilvl="1" w:tentative="0">
      <w:start w:val="1"/>
      <w:numFmt w:val="decimal"/>
      <w:isLgl/>
      <w:lvlText w:val="%1.%2"/>
      <w:lvlJc w:val="left"/>
      <w:pPr>
        <w:tabs>
          <w:tab w:val="left" w:pos="495"/>
        </w:tabs>
        <w:ind w:left="495" w:hanging="495"/>
      </w:pPr>
      <w:rPr>
        <w:rFonts w:hint="default" w:ascii="Times New Roman" w:hAnsi="Times New Roman" w:cs="Times New Roman"/>
      </w:rPr>
    </w:lvl>
    <w:lvl w:ilvl="2" w:tentative="0">
      <w:start w:val="1"/>
      <w:numFmt w:val="decimal"/>
      <w:isLgl/>
      <w:lvlText w:val="%1.%2.%3"/>
      <w:lvlJc w:val="left"/>
      <w:pPr>
        <w:tabs>
          <w:tab w:val="left" w:pos="720"/>
        </w:tabs>
        <w:ind w:left="720" w:hanging="720"/>
      </w:pPr>
      <w:rPr>
        <w:rFonts w:hint="default" w:ascii="Times New Roman" w:hAnsi="Times New Roman" w:cs="Times New Roman"/>
      </w:rPr>
    </w:lvl>
    <w:lvl w:ilvl="3" w:tentative="0">
      <w:start w:val="1"/>
      <w:numFmt w:val="decimal"/>
      <w:isLgl/>
      <w:lvlText w:val="%1.%2.%3.%4"/>
      <w:lvlJc w:val="left"/>
      <w:pPr>
        <w:tabs>
          <w:tab w:val="left" w:pos="1080"/>
        </w:tabs>
        <w:ind w:left="1080" w:hanging="1080"/>
      </w:pPr>
      <w:rPr>
        <w:rFonts w:hint="default" w:ascii="Times New Roman" w:hAnsi="Times New Roman" w:cs="Times New Roman"/>
      </w:rPr>
    </w:lvl>
    <w:lvl w:ilvl="4" w:tentative="0">
      <w:start w:val="1"/>
      <w:numFmt w:val="decimal"/>
      <w:isLgl/>
      <w:lvlText w:val="%1.%2.%3.%4.%5"/>
      <w:lvlJc w:val="left"/>
      <w:pPr>
        <w:tabs>
          <w:tab w:val="left" w:pos="1080"/>
        </w:tabs>
        <w:ind w:left="1080" w:hanging="1080"/>
      </w:pPr>
      <w:rPr>
        <w:rFonts w:hint="default" w:ascii="Times New Roman" w:hAnsi="Times New Roman" w:cs="Times New Roman"/>
      </w:rPr>
    </w:lvl>
    <w:lvl w:ilvl="5" w:tentative="0">
      <w:start w:val="1"/>
      <w:numFmt w:val="decimal"/>
      <w:isLgl/>
      <w:lvlText w:val="%1.%2.%3.%4.%5.%6"/>
      <w:lvlJc w:val="left"/>
      <w:pPr>
        <w:tabs>
          <w:tab w:val="left" w:pos="1440"/>
        </w:tabs>
        <w:ind w:left="1440" w:hanging="1440"/>
      </w:pPr>
      <w:rPr>
        <w:rFonts w:hint="default" w:ascii="Times New Roman" w:hAnsi="Times New Roman" w:cs="Times New Roman"/>
      </w:rPr>
    </w:lvl>
    <w:lvl w:ilvl="6" w:tentative="0">
      <w:start w:val="1"/>
      <w:numFmt w:val="decimal"/>
      <w:isLgl/>
      <w:lvlText w:val="%1.%2.%3.%4.%5.%6.%7"/>
      <w:lvlJc w:val="left"/>
      <w:pPr>
        <w:tabs>
          <w:tab w:val="left" w:pos="1440"/>
        </w:tabs>
        <w:ind w:left="1440" w:hanging="1440"/>
      </w:pPr>
      <w:rPr>
        <w:rFonts w:hint="default" w:ascii="Times New Roman" w:hAnsi="Times New Roman" w:cs="Times New Roman"/>
      </w:rPr>
    </w:lvl>
    <w:lvl w:ilvl="7" w:tentative="0">
      <w:start w:val="1"/>
      <w:numFmt w:val="decimal"/>
      <w:isLgl/>
      <w:lvlText w:val="%1.%2.%3.%4.%5.%6.%7.%8"/>
      <w:lvlJc w:val="left"/>
      <w:pPr>
        <w:tabs>
          <w:tab w:val="left" w:pos="1800"/>
        </w:tabs>
        <w:ind w:left="1800" w:hanging="1800"/>
      </w:pPr>
      <w:rPr>
        <w:rFonts w:hint="default" w:ascii="Times New Roman" w:hAnsi="Times New Roman" w:cs="Times New Roman"/>
      </w:rPr>
    </w:lvl>
    <w:lvl w:ilvl="8" w:tentative="0">
      <w:start w:val="1"/>
      <w:numFmt w:val="decimal"/>
      <w:isLgl/>
      <w:lvlText w:val="%1.%2.%3.%4.%5.%6.%7.%8.%9"/>
      <w:lvlJc w:val="left"/>
      <w:pPr>
        <w:tabs>
          <w:tab w:val="left" w:pos="2160"/>
        </w:tabs>
        <w:ind w:left="2160" w:hanging="2160"/>
      </w:pPr>
      <w:rPr>
        <w:rFonts w:hint="default" w:ascii="Times New Roman" w:hAnsi="Times New Roman" w:cs="Times New Roman"/>
      </w:rPr>
    </w:lvl>
  </w:abstractNum>
  <w:abstractNum w:abstractNumId="3">
    <w:nsid w:val="74F80FCF"/>
    <w:multiLevelType w:val="multilevel"/>
    <w:tmpl w:val="74F80FCF"/>
    <w:lvl w:ilvl="0" w:tentative="0">
      <w:start w:val="1"/>
      <w:numFmt w:val="decimal"/>
      <w:lvlText w:val="%1)"/>
      <w:lvlJc w:val="left"/>
      <w:pPr>
        <w:ind w:left="980" w:hanging="420"/>
      </w:pPr>
    </w:lvl>
    <w:lvl w:ilvl="1" w:tentative="0">
      <w:start w:val="1"/>
      <w:numFmt w:val="lowerLetter"/>
      <w:lvlText w:val="%2)"/>
      <w:lvlJc w:val="left"/>
      <w:pPr>
        <w:ind w:left="1400" w:hanging="420"/>
      </w:pPr>
    </w:lvl>
    <w:lvl w:ilvl="2" w:tentative="0">
      <w:start w:val="1"/>
      <w:numFmt w:val="lowerRoman"/>
      <w:lvlText w:val="%3."/>
      <w:lvlJc w:val="right"/>
      <w:pPr>
        <w:ind w:left="1820" w:hanging="420"/>
      </w:pPr>
    </w:lvl>
    <w:lvl w:ilvl="3" w:tentative="0">
      <w:start w:val="1"/>
      <w:numFmt w:val="decimal"/>
      <w:lvlText w:val="%4."/>
      <w:lvlJc w:val="left"/>
      <w:pPr>
        <w:ind w:left="2240" w:hanging="420"/>
      </w:pPr>
    </w:lvl>
    <w:lvl w:ilvl="4" w:tentative="0">
      <w:start w:val="1"/>
      <w:numFmt w:val="lowerLetter"/>
      <w:lvlText w:val="%5)"/>
      <w:lvlJc w:val="left"/>
      <w:pPr>
        <w:ind w:left="2660" w:hanging="420"/>
      </w:pPr>
    </w:lvl>
    <w:lvl w:ilvl="5" w:tentative="0">
      <w:start w:val="1"/>
      <w:numFmt w:val="lowerRoman"/>
      <w:lvlText w:val="%6."/>
      <w:lvlJc w:val="right"/>
      <w:pPr>
        <w:ind w:left="3080" w:hanging="420"/>
      </w:pPr>
    </w:lvl>
    <w:lvl w:ilvl="6" w:tentative="0">
      <w:start w:val="1"/>
      <w:numFmt w:val="decimal"/>
      <w:lvlText w:val="%7."/>
      <w:lvlJc w:val="left"/>
      <w:pPr>
        <w:ind w:left="3500" w:hanging="420"/>
      </w:pPr>
    </w:lvl>
    <w:lvl w:ilvl="7" w:tentative="0">
      <w:start w:val="1"/>
      <w:numFmt w:val="lowerLetter"/>
      <w:lvlText w:val="%8)"/>
      <w:lvlJc w:val="left"/>
      <w:pPr>
        <w:ind w:left="3920" w:hanging="420"/>
      </w:pPr>
    </w:lvl>
    <w:lvl w:ilvl="8" w:tentative="0">
      <w:start w:val="1"/>
      <w:numFmt w:val="lowerRoman"/>
      <w:lvlText w:val="%9."/>
      <w:lvlJc w:val="right"/>
      <w:pPr>
        <w:ind w:left="4340" w:hanging="42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5"/>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DllYzUxODJhZjFiODlkMjg1Y2E2ZjdhYjE3MjAyNzQifQ=="/>
  </w:docVars>
  <w:rsids>
    <w:rsidRoot w:val="00172A27"/>
    <w:rsid w:val="00000C59"/>
    <w:rsid w:val="0001058A"/>
    <w:rsid w:val="00035776"/>
    <w:rsid w:val="00041BD9"/>
    <w:rsid w:val="0004638B"/>
    <w:rsid w:val="00076AAE"/>
    <w:rsid w:val="00081B6D"/>
    <w:rsid w:val="00092DAC"/>
    <w:rsid w:val="000A0B6A"/>
    <w:rsid w:val="000B03B7"/>
    <w:rsid w:val="000B2F8E"/>
    <w:rsid w:val="000B4F57"/>
    <w:rsid w:val="000E3C18"/>
    <w:rsid w:val="000F4E20"/>
    <w:rsid w:val="000F7A6D"/>
    <w:rsid w:val="001045F5"/>
    <w:rsid w:val="00106F9D"/>
    <w:rsid w:val="00125C79"/>
    <w:rsid w:val="00125F51"/>
    <w:rsid w:val="00131DED"/>
    <w:rsid w:val="001329D8"/>
    <w:rsid w:val="001359AB"/>
    <w:rsid w:val="00140E0D"/>
    <w:rsid w:val="00157D01"/>
    <w:rsid w:val="00172A27"/>
    <w:rsid w:val="00182AED"/>
    <w:rsid w:val="001A6F2D"/>
    <w:rsid w:val="001D3A6D"/>
    <w:rsid w:val="001F35B5"/>
    <w:rsid w:val="00214A10"/>
    <w:rsid w:val="002312C7"/>
    <w:rsid w:val="00243188"/>
    <w:rsid w:val="00251871"/>
    <w:rsid w:val="002568B6"/>
    <w:rsid w:val="00272B79"/>
    <w:rsid w:val="00280DEB"/>
    <w:rsid w:val="00296F19"/>
    <w:rsid w:val="002A1FFD"/>
    <w:rsid w:val="002F449E"/>
    <w:rsid w:val="002F5F38"/>
    <w:rsid w:val="00315399"/>
    <w:rsid w:val="00323876"/>
    <w:rsid w:val="0034376C"/>
    <w:rsid w:val="0035317F"/>
    <w:rsid w:val="0035693C"/>
    <w:rsid w:val="00373EFA"/>
    <w:rsid w:val="00396462"/>
    <w:rsid w:val="003A6ABD"/>
    <w:rsid w:val="003B67C6"/>
    <w:rsid w:val="00401766"/>
    <w:rsid w:val="00415B79"/>
    <w:rsid w:val="00455C69"/>
    <w:rsid w:val="00466509"/>
    <w:rsid w:val="00471B37"/>
    <w:rsid w:val="004808BC"/>
    <w:rsid w:val="004838D6"/>
    <w:rsid w:val="00486561"/>
    <w:rsid w:val="004957A1"/>
    <w:rsid w:val="004A1FB8"/>
    <w:rsid w:val="004B6C48"/>
    <w:rsid w:val="004D4252"/>
    <w:rsid w:val="004D66A1"/>
    <w:rsid w:val="004E1408"/>
    <w:rsid w:val="00506578"/>
    <w:rsid w:val="0051304D"/>
    <w:rsid w:val="00540357"/>
    <w:rsid w:val="00567E42"/>
    <w:rsid w:val="00584F2A"/>
    <w:rsid w:val="00596151"/>
    <w:rsid w:val="005E0B7E"/>
    <w:rsid w:val="00626DB8"/>
    <w:rsid w:val="00632669"/>
    <w:rsid w:val="00645D55"/>
    <w:rsid w:val="00650407"/>
    <w:rsid w:val="00671001"/>
    <w:rsid w:val="00675271"/>
    <w:rsid w:val="00695537"/>
    <w:rsid w:val="006A23BE"/>
    <w:rsid w:val="006B7BBA"/>
    <w:rsid w:val="006C0878"/>
    <w:rsid w:val="006C6A68"/>
    <w:rsid w:val="006F0F32"/>
    <w:rsid w:val="006F14FC"/>
    <w:rsid w:val="0070735E"/>
    <w:rsid w:val="007116E9"/>
    <w:rsid w:val="007140DF"/>
    <w:rsid w:val="0074470F"/>
    <w:rsid w:val="00744AB8"/>
    <w:rsid w:val="00746DF7"/>
    <w:rsid w:val="00755FD5"/>
    <w:rsid w:val="00762272"/>
    <w:rsid w:val="007859F3"/>
    <w:rsid w:val="00795742"/>
    <w:rsid w:val="007A2FF8"/>
    <w:rsid w:val="007B748E"/>
    <w:rsid w:val="007C0290"/>
    <w:rsid w:val="007F2EAC"/>
    <w:rsid w:val="007F3240"/>
    <w:rsid w:val="0080137F"/>
    <w:rsid w:val="00824648"/>
    <w:rsid w:val="008401CA"/>
    <w:rsid w:val="008452D9"/>
    <w:rsid w:val="00851AF2"/>
    <w:rsid w:val="00873F51"/>
    <w:rsid w:val="00874679"/>
    <w:rsid w:val="00887D4A"/>
    <w:rsid w:val="008B7009"/>
    <w:rsid w:val="008C456A"/>
    <w:rsid w:val="008C47F3"/>
    <w:rsid w:val="008C4C57"/>
    <w:rsid w:val="008E4A9D"/>
    <w:rsid w:val="008F257D"/>
    <w:rsid w:val="009172D6"/>
    <w:rsid w:val="009311A0"/>
    <w:rsid w:val="009634C7"/>
    <w:rsid w:val="00983489"/>
    <w:rsid w:val="00991792"/>
    <w:rsid w:val="009947B7"/>
    <w:rsid w:val="00996A96"/>
    <w:rsid w:val="009A6880"/>
    <w:rsid w:val="009A73D2"/>
    <w:rsid w:val="009B7F10"/>
    <w:rsid w:val="009D5FBE"/>
    <w:rsid w:val="009F2BC9"/>
    <w:rsid w:val="00A23F9B"/>
    <w:rsid w:val="00A25EC7"/>
    <w:rsid w:val="00A31B40"/>
    <w:rsid w:val="00A3349F"/>
    <w:rsid w:val="00A425DD"/>
    <w:rsid w:val="00A55949"/>
    <w:rsid w:val="00A85755"/>
    <w:rsid w:val="00AD0724"/>
    <w:rsid w:val="00AF40E8"/>
    <w:rsid w:val="00B17931"/>
    <w:rsid w:val="00B62B85"/>
    <w:rsid w:val="00B67020"/>
    <w:rsid w:val="00B82E5C"/>
    <w:rsid w:val="00B91BFD"/>
    <w:rsid w:val="00BD362C"/>
    <w:rsid w:val="00BF2B81"/>
    <w:rsid w:val="00BF4F61"/>
    <w:rsid w:val="00C13042"/>
    <w:rsid w:val="00C248F4"/>
    <w:rsid w:val="00C24B1B"/>
    <w:rsid w:val="00C65245"/>
    <w:rsid w:val="00C75B39"/>
    <w:rsid w:val="00C77CFE"/>
    <w:rsid w:val="00CA5162"/>
    <w:rsid w:val="00CB4AEE"/>
    <w:rsid w:val="00CC7C14"/>
    <w:rsid w:val="00CC7C65"/>
    <w:rsid w:val="00CD1D36"/>
    <w:rsid w:val="00CD20E3"/>
    <w:rsid w:val="00CF3356"/>
    <w:rsid w:val="00D039BF"/>
    <w:rsid w:val="00D04901"/>
    <w:rsid w:val="00D36079"/>
    <w:rsid w:val="00D4605E"/>
    <w:rsid w:val="00D63745"/>
    <w:rsid w:val="00D6467A"/>
    <w:rsid w:val="00D81DF4"/>
    <w:rsid w:val="00DA67EE"/>
    <w:rsid w:val="00DE0CD6"/>
    <w:rsid w:val="00E07015"/>
    <w:rsid w:val="00E22335"/>
    <w:rsid w:val="00E33348"/>
    <w:rsid w:val="00E36250"/>
    <w:rsid w:val="00E42258"/>
    <w:rsid w:val="00E43495"/>
    <w:rsid w:val="00E746EB"/>
    <w:rsid w:val="00E804FC"/>
    <w:rsid w:val="00E830A2"/>
    <w:rsid w:val="00EA2ACD"/>
    <w:rsid w:val="00EC1D64"/>
    <w:rsid w:val="00EC2DD1"/>
    <w:rsid w:val="00EC3307"/>
    <w:rsid w:val="00EE428D"/>
    <w:rsid w:val="00EF1FF5"/>
    <w:rsid w:val="00EF2BC2"/>
    <w:rsid w:val="00EF3690"/>
    <w:rsid w:val="00EF61E6"/>
    <w:rsid w:val="00F00193"/>
    <w:rsid w:val="00F1419A"/>
    <w:rsid w:val="00F41B6A"/>
    <w:rsid w:val="00F5424E"/>
    <w:rsid w:val="00F70B93"/>
    <w:rsid w:val="00F85296"/>
    <w:rsid w:val="00F95498"/>
    <w:rsid w:val="00FB2464"/>
    <w:rsid w:val="00FC26CA"/>
    <w:rsid w:val="00FD4E02"/>
    <w:rsid w:val="00FE2682"/>
    <w:rsid w:val="00FE6EFD"/>
    <w:rsid w:val="00FF0068"/>
    <w:rsid w:val="00FF5C6A"/>
    <w:rsid w:val="14CB07D0"/>
    <w:rsid w:val="1BE07F02"/>
    <w:rsid w:val="1C6A43DD"/>
    <w:rsid w:val="1F505606"/>
    <w:rsid w:val="2C274497"/>
    <w:rsid w:val="2FC95046"/>
    <w:rsid w:val="3930300E"/>
    <w:rsid w:val="441861AA"/>
    <w:rsid w:val="45CD3BC1"/>
    <w:rsid w:val="5A355EBF"/>
    <w:rsid w:val="5A6F0FC1"/>
    <w:rsid w:val="5A793141"/>
    <w:rsid w:val="5F587CA6"/>
    <w:rsid w:val="69BF17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iPriority="99" w:semiHidden="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8">
    <w:name w:val="Default Paragraph Font"/>
    <w:semiHidden/>
    <w:unhideWhenUsed/>
    <w:uiPriority w:val="1"/>
  </w:style>
  <w:style w:type="table" w:default="1" w:styleId="7">
    <w:name w:val="Normal Table"/>
    <w:semiHidden/>
    <w:unhideWhenUsed/>
    <w:uiPriority w:val="99"/>
    <w:tblPr>
      <w:tblCellMar>
        <w:top w:w="0" w:type="dxa"/>
        <w:left w:w="108" w:type="dxa"/>
        <w:bottom w:w="0" w:type="dxa"/>
        <w:right w:w="108" w:type="dxa"/>
      </w:tblCellMar>
    </w:tblPr>
  </w:style>
  <w:style w:type="paragraph" w:styleId="2">
    <w:name w:val="Body Text"/>
    <w:basedOn w:val="1"/>
    <w:uiPriority w:val="0"/>
    <w:pPr>
      <w:spacing w:line="288" w:lineRule="auto"/>
    </w:pPr>
    <w:rPr>
      <w:sz w:val="28"/>
    </w:rPr>
  </w:style>
  <w:style w:type="paragraph" w:styleId="3">
    <w:name w:val="Body Text Indent"/>
    <w:basedOn w:val="1"/>
    <w:link w:val="11"/>
    <w:qFormat/>
    <w:uiPriority w:val="0"/>
    <w:pPr>
      <w:spacing w:after="120"/>
      <w:ind w:left="420" w:leftChars="200"/>
    </w:pPr>
  </w:style>
  <w:style w:type="paragraph" w:styleId="4">
    <w:name w:val="Balloon Text"/>
    <w:basedOn w:val="1"/>
    <w:semiHidden/>
    <w:qFormat/>
    <w:uiPriority w:val="0"/>
    <w:rPr>
      <w:sz w:val="18"/>
      <w:szCs w:val="18"/>
    </w:rPr>
  </w:style>
  <w:style w:type="paragraph" w:styleId="5">
    <w:name w:val="footer"/>
    <w:basedOn w:val="1"/>
    <w:qFormat/>
    <w:uiPriority w:val="0"/>
    <w:pPr>
      <w:tabs>
        <w:tab w:val="center" w:pos="4153"/>
        <w:tab w:val="right" w:pos="8306"/>
      </w:tabs>
      <w:snapToGrid w:val="0"/>
      <w:jc w:val="left"/>
    </w:pPr>
    <w:rPr>
      <w:sz w:val="18"/>
      <w:szCs w:val="18"/>
    </w:rPr>
  </w:style>
  <w:style w:type="paragraph" w:styleId="6">
    <w:name w:val="header"/>
    <w:basedOn w:val="1"/>
    <w:qFormat/>
    <w:uiPriority w:val="0"/>
    <w:pPr>
      <w:pBdr>
        <w:bottom w:val="single" w:color="auto" w:sz="6" w:space="1"/>
      </w:pBdr>
      <w:tabs>
        <w:tab w:val="center" w:pos="4153"/>
        <w:tab w:val="right" w:pos="8306"/>
      </w:tabs>
      <w:snapToGrid w:val="0"/>
      <w:jc w:val="center"/>
    </w:pPr>
    <w:rPr>
      <w:sz w:val="18"/>
      <w:szCs w:val="18"/>
    </w:rPr>
  </w:style>
  <w:style w:type="character" w:styleId="9">
    <w:name w:val="page number"/>
    <w:basedOn w:val="8"/>
    <w:qFormat/>
    <w:uiPriority w:val="0"/>
  </w:style>
  <w:style w:type="character" w:styleId="10">
    <w:name w:val="Hyperlink"/>
    <w:basedOn w:val="8"/>
    <w:unhideWhenUsed/>
    <w:qFormat/>
    <w:uiPriority w:val="99"/>
    <w:rPr>
      <w:color w:val="0000FF"/>
      <w:u w:val="single"/>
    </w:rPr>
  </w:style>
  <w:style w:type="character" w:customStyle="1" w:styleId="11">
    <w:name w:val="正文文本缩进 字符"/>
    <w:basedOn w:val="8"/>
    <w:link w:val="3"/>
    <w:qFormat/>
    <w:uiPriority w:val="0"/>
    <w:rPr>
      <w:kern w:val="2"/>
      <w:sz w:val="21"/>
    </w:rPr>
  </w:style>
  <w:style w:type="paragraph" w:styleId="12">
    <w:name w:val="List Paragraph"/>
    <w:basedOn w:val="1"/>
    <w:qFormat/>
    <w:uiPriority w:val="34"/>
    <w:pPr>
      <w:ind w:firstLine="420" w:firstLineChars="200"/>
    </w:pPr>
    <w:rPr>
      <w:rFonts w:ascii="Calibri" w:hAnsi="Calibri"/>
      <w:szCs w:val="22"/>
    </w:rPr>
  </w:style>
  <w:style w:type="paragraph" w:customStyle="1" w:styleId="13">
    <w:name w:val="000可研正文"/>
    <w:basedOn w:val="1"/>
    <w:qFormat/>
    <w:uiPriority w:val="0"/>
    <w:pPr>
      <w:widowControl/>
      <w:spacing w:line="360" w:lineRule="auto"/>
      <w:ind w:firstLine="560" w:firstLineChars="200"/>
    </w:pPr>
    <w:rPr>
      <w:rFonts w:cs="宋体"/>
      <w:sz w:val="28"/>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cacc</Company>
  <Pages>3</Pages>
  <Words>1273</Words>
  <Characters>1461</Characters>
  <Lines>10</Lines>
  <Paragraphs>3</Paragraphs>
  <TotalTime>0</TotalTime>
  <ScaleCrop>false</ScaleCrop>
  <LinksUpToDate>false</LinksUpToDate>
  <CharactersWithSpaces>1472</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2021-01-27T10:36:00Z</dcterms:created>
  <dc:creator>yaohuilai</dc:creator>
  <cp:lastModifiedBy>枣</cp:lastModifiedBy>
  <cp:lastPrinted>2020-11-30T10:07:00Z</cp:lastPrinted>
  <dcterms:modified xsi:type="dcterms:W3CDTF">2023-03-09T06:26:14Z</dcterms:modified>
  <dc:title>中国民航机场建设总公司</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A24D5952315D4A709B9133FA0B142E9A</vt:lpwstr>
  </property>
</Properties>
</file>